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11A" w:rsidRPr="00A57B59" w:rsidRDefault="00C3711A" w:rsidP="00367D80">
      <w:pPr>
        <w:pStyle w:val="Default"/>
        <w:jc w:val="right"/>
        <w:rPr>
          <w:sz w:val="22"/>
          <w:szCs w:val="22"/>
        </w:rPr>
      </w:pPr>
      <w:r w:rsidRPr="00A57B59">
        <w:rPr>
          <w:b/>
          <w:bCs/>
          <w:sz w:val="22"/>
          <w:szCs w:val="22"/>
        </w:rPr>
        <w:t xml:space="preserve"> </w:t>
      </w:r>
    </w:p>
    <w:p w:rsidR="002D3BA9" w:rsidRDefault="002D3BA9" w:rsidP="002D3BA9">
      <w:pPr>
        <w:pStyle w:val="Default"/>
        <w:shd w:val="clear" w:color="auto" w:fill="595959" w:themeFill="text1" w:themeFillTint="A6"/>
        <w:jc w:val="center"/>
        <w:rPr>
          <w:b/>
          <w:bCs/>
          <w:color w:val="FFFFFF" w:themeColor="background1"/>
        </w:rPr>
      </w:pPr>
    </w:p>
    <w:p w:rsidR="00DE12A3" w:rsidRDefault="00DE12A3" w:rsidP="002D3BA9">
      <w:pPr>
        <w:pStyle w:val="Default"/>
        <w:shd w:val="clear" w:color="auto" w:fill="595959" w:themeFill="text1" w:themeFillTint="A6"/>
        <w:jc w:val="center"/>
        <w:rPr>
          <w:b/>
          <w:bCs/>
          <w:color w:val="FFFFFF" w:themeColor="background1"/>
        </w:rPr>
      </w:pPr>
      <w:r w:rsidRPr="00A57B59">
        <w:rPr>
          <w:b/>
          <w:bCs/>
          <w:color w:val="FFFFFF" w:themeColor="background1"/>
        </w:rPr>
        <w:t>Changes to Capital Item Rates and Securing Future Plant Supply</w:t>
      </w:r>
    </w:p>
    <w:p w:rsidR="002D3BA9" w:rsidRPr="00A57B59" w:rsidRDefault="002D3BA9" w:rsidP="002D3BA9">
      <w:pPr>
        <w:pStyle w:val="Default"/>
        <w:shd w:val="clear" w:color="auto" w:fill="595959" w:themeFill="text1" w:themeFillTint="A6"/>
        <w:jc w:val="center"/>
        <w:rPr>
          <w:color w:val="FFFFFF" w:themeColor="background1"/>
        </w:rPr>
      </w:pPr>
    </w:p>
    <w:p w:rsidR="00DE12A3" w:rsidRPr="00A57B59" w:rsidRDefault="00DE12A3" w:rsidP="00990065">
      <w:pPr>
        <w:pStyle w:val="Default"/>
        <w:jc w:val="both"/>
        <w:rPr>
          <w:sz w:val="22"/>
          <w:szCs w:val="22"/>
        </w:rPr>
      </w:pPr>
    </w:p>
    <w:p w:rsidR="00806F8F" w:rsidRPr="00A57B59" w:rsidRDefault="00417A79" w:rsidP="00990065">
      <w:pPr>
        <w:pStyle w:val="Default"/>
        <w:jc w:val="both"/>
        <w:rPr>
          <w:sz w:val="22"/>
          <w:szCs w:val="22"/>
        </w:rPr>
      </w:pPr>
      <w:r w:rsidRPr="00A57B59">
        <w:rPr>
          <w:sz w:val="22"/>
          <w:szCs w:val="22"/>
        </w:rPr>
        <w:t>This briefing note f</w:t>
      </w:r>
      <w:r w:rsidR="00806F8F" w:rsidRPr="00A57B59">
        <w:rPr>
          <w:sz w:val="22"/>
          <w:szCs w:val="22"/>
        </w:rPr>
        <w:t>ollow</w:t>
      </w:r>
      <w:r w:rsidRPr="00A57B59">
        <w:rPr>
          <w:sz w:val="22"/>
          <w:szCs w:val="22"/>
        </w:rPr>
        <w:t>s</w:t>
      </w:r>
      <w:r w:rsidR="00806F8F" w:rsidRPr="00A57B59">
        <w:rPr>
          <w:sz w:val="22"/>
          <w:szCs w:val="22"/>
        </w:rPr>
        <w:t xml:space="preserve"> a </w:t>
      </w:r>
      <w:r w:rsidR="00E36C95" w:rsidRPr="00A57B59">
        <w:rPr>
          <w:sz w:val="22"/>
          <w:szCs w:val="22"/>
        </w:rPr>
        <w:t xml:space="preserve">recent </w:t>
      </w:r>
      <w:r w:rsidR="00806F8F" w:rsidRPr="00A57B59">
        <w:rPr>
          <w:sz w:val="22"/>
          <w:szCs w:val="22"/>
        </w:rPr>
        <w:t xml:space="preserve">review of </w:t>
      </w:r>
      <w:r w:rsidR="00E36C95" w:rsidRPr="00A57B59">
        <w:rPr>
          <w:sz w:val="22"/>
          <w:szCs w:val="22"/>
        </w:rPr>
        <w:t xml:space="preserve">FGS </w:t>
      </w:r>
      <w:r w:rsidR="00806F8F" w:rsidRPr="00A57B59">
        <w:rPr>
          <w:sz w:val="22"/>
          <w:szCs w:val="22"/>
        </w:rPr>
        <w:t xml:space="preserve">standard costs </w:t>
      </w:r>
      <w:r w:rsidRPr="00A57B59">
        <w:rPr>
          <w:sz w:val="22"/>
          <w:szCs w:val="22"/>
        </w:rPr>
        <w:t xml:space="preserve">that has resulted in </w:t>
      </w:r>
      <w:r w:rsidR="00806F8F" w:rsidRPr="00A57B59">
        <w:rPr>
          <w:sz w:val="22"/>
          <w:szCs w:val="22"/>
        </w:rPr>
        <w:t>a number of ch</w:t>
      </w:r>
      <w:r w:rsidRPr="00A57B59">
        <w:rPr>
          <w:sz w:val="22"/>
          <w:szCs w:val="22"/>
        </w:rPr>
        <w:t>anges to capital item rates that were introduced 24</w:t>
      </w:r>
      <w:r w:rsidRPr="00A57B59">
        <w:rPr>
          <w:sz w:val="22"/>
          <w:szCs w:val="22"/>
          <w:vertAlign w:val="superscript"/>
        </w:rPr>
        <w:t>th</w:t>
      </w:r>
      <w:r w:rsidRPr="00A57B59">
        <w:rPr>
          <w:sz w:val="22"/>
          <w:szCs w:val="22"/>
        </w:rPr>
        <w:t xml:space="preserve"> June 2019</w:t>
      </w:r>
      <w:r w:rsidR="00806F8F" w:rsidRPr="00A57B59">
        <w:rPr>
          <w:sz w:val="22"/>
          <w:szCs w:val="22"/>
        </w:rPr>
        <w:t>.</w:t>
      </w:r>
    </w:p>
    <w:p w:rsidR="00806F8F" w:rsidRPr="00A57B59" w:rsidRDefault="00806F8F" w:rsidP="00990065">
      <w:pPr>
        <w:pStyle w:val="Default"/>
        <w:jc w:val="both"/>
        <w:rPr>
          <w:sz w:val="22"/>
          <w:szCs w:val="22"/>
        </w:rPr>
      </w:pPr>
    </w:p>
    <w:p w:rsidR="00806F8F" w:rsidRPr="00A57B59" w:rsidRDefault="00806F8F" w:rsidP="00990065">
      <w:pPr>
        <w:pStyle w:val="Default"/>
        <w:jc w:val="both"/>
        <w:rPr>
          <w:sz w:val="22"/>
          <w:szCs w:val="22"/>
        </w:rPr>
      </w:pPr>
      <w:r w:rsidRPr="00A57B59">
        <w:rPr>
          <w:sz w:val="22"/>
          <w:szCs w:val="22"/>
        </w:rPr>
        <w:t xml:space="preserve">The revised rates and introduction of </w:t>
      </w:r>
      <w:r w:rsidR="00990065" w:rsidRPr="00A57B59">
        <w:rPr>
          <w:sz w:val="22"/>
          <w:szCs w:val="22"/>
        </w:rPr>
        <w:t>two</w:t>
      </w:r>
      <w:r w:rsidRPr="00A57B59">
        <w:rPr>
          <w:sz w:val="22"/>
          <w:szCs w:val="22"/>
        </w:rPr>
        <w:t xml:space="preserve"> new capital items, detailed within this briefing note, will only apply to new FGS applications that were submitted on or after</w:t>
      </w:r>
      <w:r w:rsidR="00A57F68" w:rsidRPr="00A57B59">
        <w:rPr>
          <w:sz w:val="22"/>
          <w:szCs w:val="22"/>
        </w:rPr>
        <w:t xml:space="preserve"> </w:t>
      </w:r>
      <w:r w:rsidRPr="00A57B59">
        <w:rPr>
          <w:sz w:val="22"/>
          <w:szCs w:val="22"/>
        </w:rPr>
        <w:t>24th June 2019.  App</w:t>
      </w:r>
      <w:r w:rsidR="0044083C" w:rsidRPr="00A57B59">
        <w:rPr>
          <w:sz w:val="22"/>
          <w:szCs w:val="22"/>
        </w:rPr>
        <w:t xml:space="preserve">roved contracts or applications </w:t>
      </w:r>
      <w:r w:rsidRPr="00A57B59">
        <w:rPr>
          <w:sz w:val="22"/>
          <w:szCs w:val="22"/>
        </w:rPr>
        <w:t>submitted before this date will not be able to</w:t>
      </w:r>
      <w:r w:rsidR="00417A79" w:rsidRPr="00A57B59">
        <w:rPr>
          <w:sz w:val="22"/>
          <w:szCs w:val="22"/>
        </w:rPr>
        <w:t xml:space="preserve"> </w:t>
      </w:r>
      <w:r w:rsidR="0044083C" w:rsidRPr="00A57B59">
        <w:rPr>
          <w:sz w:val="22"/>
          <w:szCs w:val="22"/>
        </w:rPr>
        <w:t xml:space="preserve">be </w:t>
      </w:r>
      <w:r w:rsidRPr="00A57B59">
        <w:rPr>
          <w:sz w:val="22"/>
          <w:szCs w:val="22"/>
        </w:rPr>
        <w:t>var</w:t>
      </w:r>
      <w:r w:rsidR="0044083C" w:rsidRPr="00A57B59">
        <w:rPr>
          <w:sz w:val="22"/>
          <w:szCs w:val="22"/>
        </w:rPr>
        <w:t>ied/</w:t>
      </w:r>
      <w:r w:rsidR="00362BF0" w:rsidRPr="00A57B59">
        <w:rPr>
          <w:sz w:val="22"/>
          <w:szCs w:val="22"/>
        </w:rPr>
        <w:t>adjusted</w:t>
      </w:r>
      <w:r w:rsidR="0044083C" w:rsidRPr="00A57B59">
        <w:rPr>
          <w:sz w:val="22"/>
          <w:szCs w:val="22"/>
        </w:rPr>
        <w:t>.</w:t>
      </w:r>
      <w:r w:rsidRPr="00A57B59">
        <w:rPr>
          <w:sz w:val="22"/>
          <w:szCs w:val="22"/>
        </w:rPr>
        <w:t xml:space="preserve"> </w:t>
      </w:r>
    </w:p>
    <w:p w:rsidR="00E91DB9" w:rsidRPr="00A57B59" w:rsidRDefault="00E91DB9" w:rsidP="00990065">
      <w:pPr>
        <w:pStyle w:val="Default"/>
        <w:jc w:val="both"/>
        <w:rPr>
          <w:sz w:val="22"/>
          <w:szCs w:val="22"/>
        </w:rPr>
      </w:pPr>
    </w:p>
    <w:p w:rsidR="00E91DB9" w:rsidRPr="00A57B59" w:rsidRDefault="0044083C" w:rsidP="00990065">
      <w:pPr>
        <w:pStyle w:val="Default"/>
        <w:jc w:val="both"/>
        <w:rPr>
          <w:sz w:val="22"/>
          <w:szCs w:val="22"/>
        </w:rPr>
      </w:pPr>
      <w:r w:rsidRPr="00A57B59">
        <w:rPr>
          <w:sz w:val="22"/>
          <w:szCs w:val="22"/>
        </w:rPr>
        <w:t>This</w:t>
      </w:r>
      <w:r w:rsidR="00E91DB9" w:rsidRPr="00A57B59">
        <w:rPr>
          <w:sz w:val="22"/>
          <w:szCs w:val="22"/>
        </w:rPr>
        <w:t xml:space="preserve"> note also provides advice on plant supply and preparing for the 2019</w:t>
      </w:r>
      <w:r w:rsidR="00F95ED8" w:rsidRPr="00A57B59">
        <w:rPr>
          <w:sz w:val="22"/>
          <w:szCs w:val="22"/>
        </w:rPr>
        <w:t>/</w:t>
      </w:r>
      <w:r w:rsidR="00E91DB9" w:rsidRPr="00A57B59">
        <w:rPr>
          <w:sz w:val="22"/>
          <w:szCs w:val="22"/>
        </w:rPr>
        <w:t xml:space="preserve">20 planting seasons and beyond. </w:t>
      </w:r>
    </w:p>
    <w:p w:rsidR="00806F8F" w:rsidRPr="00A57B59" w:rsidRDefault="00806F8F" w:rsidP="00990065">
      <w:pPr>
        <w:pStyle w:val="Default"/>
        <w:jc w:val="both"/>
        <w:rPr>
          <w:sz w:val="22"/>
          <w:szCs w:val="22"/>
        </w:rPr>
      </w:pPr>
    </w:p>
    <w:p w:rsidR="00806F8F" w:rsidRPr="00A57B59" w:rsidRDefault="00367D80" w:rsidP="00E36C95">
      <w:pPr>
        <w:pStyle w:val="Default"/>
        <w:shd w:val="clear" w:color="auto" w:fill="D9D9D9" w:themeFill="background1" w:themeFillShade="D9"/>
        <w:jc w:val="both"/>
        <w:rPr>
          <w:b/>
          <w:sz w:val="22"/>
          <w:szCs w:val="22"/>
        </w:rPr>
      </w:pPr>
      <w:r w:rsidRPr="00A57B59">
        <w:rPr>
          <w:b/>
          <w:sz w:val="22"/>
          <w:szCs w:val="22"/>
        </w:rPr>
        <w:t>1.</w:t>
      </w:r>
      <w:r w:rsidR="00417A79" w:rsidRPr="00A57B59">
        <w:rPr>
          <w:b/>
          <w:sz w:val="22"/>
          <w:szCs w:val="22"/>
        </w:rPr>
        <w:t xml:space="preserve">  </w:t>
      </w:r>
      <w:r w:rsidR="00806F8F" w:rsidRPr="00A57B59">
        <w:rPr>
          <w:b/>
          <w:sz w:val="22"/>
          <w:szCs w:val="22"/>
        </w:rPr>
        <w:t>Revised Rates</w:t>
      </w:r>
    </w:p>
    <w:p w:rsidR="00F95ED8" w:rsidRPr="00A57B59" w:rsidRDefault="00F95ED8" w:rsidP="00990065">
      <w:pPr>
        <w:pStyle w:val="Default"/>
        <w:jc w:val="both"/>
        <w:rPr>
          <w:sz w:val="22"/>
          <w:szCs w:val="22"/>
        </w:rPr>
      </w:pPr>
    </w:p>
    <w:p w:rsidR="00806F8F" w:rsidRDefault="00806F8F" w:rsidP="00990065">
      <w:pPr>
        <w:pStyle w:val="Default"/>
        <w:jc w:val="both"/>
        <w:rPr>
          <w:sz w:val="22"/>
          <w:szCs w:val="22"/>
        </w:rPr>
      </w:pPr>
      <w:r w:rsidRPr="00A57B59">
        <w:rPr>
          <w:sz w:val="22"/>
          <w:szCs w:val="22"/>
        </w:rPr>
        <w:t>The revision to the FGS standard capital items for Deer Fence applies to the following two options:</w:t>
      </w:r>
    </w:p>
    <w:p w:rsidR="00A57B59" w:rsidRPr="00A57B59" w:rsidRDefault="00A57B59" w:rsidP="00990065">
      <w:pPr>
        <w:pStyle w:val="Default"/>
        <w:jc w:val="both"/>
        <w:rPr>
          <w:sz w:val="22"/>
          <w:szCs w:val="22"/>
        </w:rPr>
      </w:pPr>
    </w:p>
    <w:p w:rsidR="00990065" w:rsidRPr="00A57B59" w:rsidRDefault="00806F8F" w:rsidP="00990065">
      <w:pPr>
        <w:pStyle w:val="Default"/>
        <w:numPr>
          <w:ilvl w:val="0"/>
          <w:numId w:val="7"/>
        </w:numPr>
        <w:jc w:val="both"/>
        <w:rPr>
          <w:sz w:val="22"/>
          <w:szCs w:val="22"/>
        </w:rPr>
      </w:pPr>
      <w:r w:rsidRPr="00A57B59">
        <w:rPr>
          <w:b/>
          <w:sz w:val="22"/>
          <w:szCs w:val="22"/>
        </w:rPr>
        <w:t>Deer Fence</w:t>
      </w:r>
      <w:r w:rsidR="00990065" w:rsidRPr="00A57B59">
        <w:rPr>
          <w:b/>
          <w:sz w:val="22"/>
          <w:szCs w:val="22"/>
        </w:rPr>
        <w:t xml:space="preserve"> = £7.60/m </w:t>
      </w:r>
      <w:r w:rsidR="00990065" w:rsidRPr="00A57B59">
        <w:rPr>
          <w:i/>
          <w:sz w:val="22"/>
          <w:szCs w:val="22"/>
        </w:rPr>
        <w:t>(an increase from £6.80/m)</w:t>
      </w:r>
      <w:r w:rsidRPr="00A57B59">
        <w:rPr>
          <w:b/>
          <w:sz w:val="22"/>
          <w:szCs w:val="22"/>
        </w:rPr>
        <w:t xml:space="preserve"> </w:t>
      </w:r>
    </w:p>
    <w:p w:rsidR="00806F8F" w:rsidRPr="00A57B59" w:rsidRDefault="00806F8F" w:rsidP="00990065">
      <w:pPr>
        <w:pStyle w:val="Default"/>
        <w:ind w:left="720"/>
        <w:jc w:val="both"/>
        <w:rPr>
          <w:sz w:val="22"/>
          <w:szCs w:val="22"/>
        </w:rPr>
      </w:pPr>
      <w:r w:rsidRPr="00A57B59">
        <w:rPr>
          <w:sz w:val="22"/>
          <w:szCs w:val="22"/>
        </w:rPr>
        <w:t>(</w:t>
      </w:r>
      <w:r w:rsidR="00990065" w:rsidRPr="00A57B59">
        <w:rPr>
          <w:sz w:val="22"/>
          <w:szCs w:val="22"/>
        </w:rPr>
        <w:t xml:space="preserve">associated with </w:t>
      </w:r>
      <w:r w:rsidRPr="00A57B59">
        <w:rPr>
          <w:sz w:val="22"/>
          <w:szCs w:val="22"/>
        </w:rPr>
        <w:t>Woodland Creation)</w:t>
      </w:r>
      <w:r w:rsidR="00990065" w:rsidRPr="00A57B59">
        <w:rPr>
          <w:sz w:val="22"/>
          <w:szCs w:val="22"/>
        </w:rPr>
        <w:t>.</w:t>
      </w:r>
      <w:r w:rsidRPr="00A57B59">
        <w:rPr>
          <w:sz w:val="22"/>
          <w:szCs w:val="22"/>
        </w:rPr>
        <w:t xml:space="preserve">  </w:t>
      </w:r>
    </w:p>
    <w:p w:rsidR="00990065" w:rsidRPr="00A57B59" w:rsidRDefault="00806F8F" w:rsidP="00990065">
      <w:pPr>
        <w:pStyle w:val="Default"/>
        <w:numPr>
          <w:ilvl w:val="0"/>
          <w:numId w:val="7"/>
        </w:numPr>
        <w:jc w:val="both"/>
        <w:rPr>
          <w:sz w:val="22"/>
          <w:szCs w:val="22"/>
        </w:rPr>
      </w:pPr>
      <w:r w:rsidRPr="00A57B59">
        <w:rPr>
          <w:b/>
          <w:sz w:val="22"/>
          <w:szCs w:val="22"/>
        </w:rPr>
        <w:t>Deer Fence</w:t>
      </w:r>
      <w:r w:rsidR="00990065" w:rsidRPr="00A57B59">
        <w:rPr>
          <w:b/>
          <w:sz w:val="22"/>
          <w:szCs w:val="22"/>
        </w:rPr>
        <w:t xml:space="preserve"> = £9.50/m </w:t>
      </w:r>
      <w:r w:rsidR="00990065" w:rsidRPr="00A57B59">
        <w:rPr>
          <w:i/>
          <w:sz w:val="22"/>
          <w:szCs w:val="22"/>
        </w:rPr>
        <w:t>(an increase from £8.50/m)</w:t>
      </w:r>
    </w:p>
    <w:p w:rsidR="00806F8F" w:rsidRPr="00A57B59" w:rsidRDefault="00990065" w:rsidP="00990065">
      <w:pPr>
        <w:pStyle w:val="Default"/>
        <w:ind w:left="720"/>
        <w:jc w:val="both"/>
        <w:rPr>
          <w:sz w:val="22"/>
          <w:szCs w:val="22"/>
        </w:rPr>
      </w:pPr>
      <w:r w:rsidRPr="00A57B59">
        <w:rPr>
          <w:sz w:val="22"/>
          <w:szCs w:val="22"/>
        </w:rPr>
        <w:t xml:space="preserve">(associated with </w:t>
      </w:r>
      <w:r w:rsidR="00806F8F" w:rsidRPr="00A57B59">
        <w:rPr>
          <w:sz w:val="22"/>
          <w:szCs w:val="22"/>
        </w:rPr>
        <w:t>Woodland Improvement Grant - Habitats and Species)</w:t>
      </w:r>
    </w:p>
    <w:p w:rsidR="00806F8F" w:rsidRPr="00A57B59" w:rsidRDefault="00806F8F" w:rsidP="00990065">
      <w:pPr>
        <w:pStyle w:val="Default"/>
        <w:jc w:val="both"/>
        <w:rPr>
          <w:sz w:val="22"/>
          <w:szCs w:val="22"/>
        </w:rPr>
      </w:pPr>
    </w:p>
    <w:p w:rsidR="00806F8F" w:rsidRPr="00A57B59" w:rsidRDefault="00367D80" w:rsidP="00E36C95">
      <w:pPr>
        <w:pStyle w:val="Default"/>
        <w:shd w:val="clear" w:color="auto" w:fill="D9D9D9" w:themeFill="background1" w:themeFillShade="D9"/>
        <w:jc w:val="both"/>
        <w:rPr>
          <w:b/>
          <w:sz w:val="22"/>
          <w:szCs w:val="22"/>
        </w:rPr>
      </w:pPr>
      <w:r w:rsidRPr="00A57B59">
        <w:rPr>
          <w:b/>
          <w:sz w:val="22"/>
          <w:szCs w:val="22"/>
        </w:rPr>
        <w:t>2.</w:t>
      </w:r>
      <w:r w:rsidR="00417A79" w:rsidRPr="00A57B59">
        <w:rPr>
          <w:b/>
          <w:sz w:val="22"/>
          <w:szCs w:val="22"/>
        </w:rPr>
        <w:t xml:space="preserve">  </w:t>
      </w:r>
      <w:r w:rsidR="00806F8F" w:rsidRPr="00A57B59">
        <w:rPr>
          <w:b/>
          <w:sz w:val="22"/>
          <w:szCs w:val="22"/>
        </w:rPr>
        <w:t>New Capital Items</w:t>
      </w:r>
    </w:p>
    <w:p w:rsidR="00F95ED8" w:rsidRPr="00A57B59" w:rsidRDefault="00F95ED8" w:rsidP="00990065">
      <w:pPr>
        <w:pStyle w:val="Default"/>
        <w:jc w:val="both"/>
        <w:rPr>
          <w:sz w:val="22"/>
          <w:szCs w:val="22"/>
        </w:rPr>
      </w:pPr>
    </w:p>
    <w:p w:rsidR="00A3390B" w:rsidRPr="00A57B59" w:rsidRDefault="00806F8F" w:rsidP="00990065">
      <w:pPr>
        <w:pStyle w:val="Default"/>
        <w:jc w:val="both"/>
        <w:rPr>
          <w:sz w:val="22"/>
          <w:szCs w:val="22"/>
        </w:rPr>
      </w:pPr>
      <w:r w:rsidRPr="00A57B59">
        <w:rPr>
          <w:sz w:val="22"/>
          <w:szCs w:val="22"/>
        </w:rPr>
        <w:t xml:space="preserve">Two new </w:t>
      </w:r>
      <w:r w:rsidR="00DE12A3" w:rsidRPr="00A57B59">
        <w:rPr>
          <w:sz w:val="22"/>
          <w:szCs w:val="22"/>
        </w:rPr>
        <w:t xml:space="preserve">Capital </w:t>
      </w:r>
      <w:r w:rsidRPr="00A57B59">
        <w:rPr>
          <w:sz w:val="22"/>
          <w:szCs w:val="22"/>
        </w:rPr>
        <w:t>items have been introduced</w:t>
      </w:r>
      <w:r w:rsidR="00A57F68" w:rsidRPr="00A57B59">
        <w:rPr>
          <w:sz w:val="22"/>
          <w:szCs w:val="22"/>
        </w:rPr>
        <w:t xml:space="preserve"> and t</w:t>
      </w:r>
      <w:r w:rsidR="00DE12A3" w:rsidRPr="00A57B59">
        <w:rPr>
          <w:sz w:val="22"/>
          <w:szCs w:val="22"/>
        </w:rPr>
        <w:t>he rates associated with the</w:t>
      </w:r>
      <w:r w:rsidR="00A57F68" w:rsidRPr="00A57B59">
        <w:rPr>
          <w:sz w:val="22"/>
          <w:szCs w:val="22"/>
        </w:rPr>
        <w:t xml:space="preserve">m are </w:t>
      </w:r>
      <w:r w:rsidR="00DE12A3" w:rsidRPr="00A57B59">
        <w:rPr>
          <w:sz w:val="22"/>
          <w:szCs w:val="22"/>
        </w:rPr>
        <w:t>as follows:</w:t>
      </w:r>
    </w:p>
    <w:p w:rsidR="00F95ED8" w:rsidRPr="00A57B59" w:rsidRDefault="00F95ED8" w:rsidP="00990065">
      <w:pPr>
        <w:pStyle w:val="Default"/>
        <w:jc w:val="both"/>
        <w:rPr>
          <w:sz w:val="22"/>
          <w:szCs w:val="22"/>
        </w:rPr>
      </w:pPr>
    </w:p>
    <w:p w:rsidR="00A3390B" w:rsidRPr="00A57B59" w:rsidRDefault="00A3390B" w:rsidP="00A3390B">
      <w:pPr>
        <w:pStyle w:val="Default"/>
        <w:numPr>
          <w:ilvl w:val="0"/>
          <w:numId w:val="7"/>
        </w:numPr>
        <w:jc w:val="both"/>
        <w:rPr>
          <w:sz w:val="22"/>
          <w:szCs w:val="22"/>
        </w:rPr>
      </w:pPr>
      <w:r w:rsidRPr="00A57B59">
        <w:rPr>
          <w:b/>
          <w:sz w:val="22"/>
          <w:szCs w:val="22"/>
        </w:rPr>
        <w:t>March Stock Fence rate</w:t>
      </w:r>
      <w:r w:rsidRPr="00A57B59">
        <w:rPr>
          <w:sz w:val="22"/>
          <w:szCs w:val="22"/>
        </w:rPr>
        <w:t xml:space="preserve"> </w:t>
      </w:r>
      <w:r w:rsidRPr="00A57B59">
        <w:rPr>
          <w:b/>
          <w:sz w:val="22"/>
          <w:szCs w:val="22"/>
        </w:rPr>
        <w:t>= £2.75/m</w:t>
      </w:r>
      <w:r w:rsidRPr="00A57B59">
        <w:rPr>
          <w:sz w:val="22"/>
          <w:szCs w:val="22"/>
        </w:rPr>
        <w:t xml:space="preserve"> </w:t>
      </w:r>
    </w:p>
    <w:p w:rsidR="00A3390B" w:rsidRPr="00A57B59" w:rsidRDefault="00A3390B" w:rsidP="00A3390B">
      <w:pPr>
        <w:pStyle w:val="Default"/>
        <w:ind w:left="720"/>
        <w:jc w:val="both"/>
        <w:rPr>
          <w:sz w:val="22"/>
          <w:szCs w:val="22"/>
        </w:rPr>
      </w:pPr>
      <w:r w:rsidRPr="00A57B59">
        <w:rPr>
          <w:sz w:val="22"/>
          <w:szCs w:val="22"/>
        </w:rPr>
        <w:t xml:space="preserve">(associated with Woodland Creation; WIG Habitats and Species; and WIG </w:t>
      </w:r>
      <w:proofErr w:type="spellStart"/>
      <w:r w:rsidRPr="00A57B59">
        <w:rPr>
          <w:sz w:val="22"/>
          <w:szCs w:val="22"/>
        </w:rPr>
        <w:t>WIAT</w:t>
      </w:r>
      <w:proofErr w:type="spellEnd"/>
      <w:r w:rsidRPr="00A57B59">
        <w:rPr>
          <w:sz w:val="22"/>
          <w:szCs w:val="22"/>
        </w:rPr>
        <w:t>)</w:t>
      </w:r>
    </w:p>
    <w:p w:rsidR="00A3390B" w:rsidRPr="00A57B59" w:rsidRDefault="00A3390B" w:rsidP="00A3390B">
      <w:pPr>
        <w:pStyle w:val="Default"/>
        <w:ind w:left="720"/>
        <w:jc w:val="both"/>
        <w:rPr>
          <w:sz w:val="22"/>
          <w:szCs w:val="22"/>
        </w:rPr>
      </w:pPr>
    </w:p>
    <w:p w:rsidR="00A57F68" w:rsidRPr="00A57B59" w:rsidRDefault="00A57F68" w:rsidP="00A3390B">
      <w:pPr>
        <w:pStyle w:val="Default"/>
        <w:ind w:left="720"/>
        <w:jc w:val="both"/>
        <w:rPr>
          <w:sz w:val="22"/>
          <w:szCs w:val="22"/>
        </w:rPr>
      </w:pPr>
      <w:r w:rsidRPr="00A57B59">
        <w:rPr>
          <w:sz w:val="22"/>
          <w:szCs w:val="22"/>
        </w:rPr>
        <w:t xml:space="preserve">Any sections of a new stock fence that is proposed in an FGS application, that has a shared responsibility with the neighbouring land owner, should use the new March Stock Fence capital item, and will require an FGS </w:t>
      </w:r>
      <w:hyperlink r:id="rId7" w:history="1">
        <w:r w:rsidRPr="00A57B59">
          <w:rPr>
            <w:rStyle w:val="Hyperlink"/>
            <w:sz w:val="22"/>
            <w:szCs w:val="22"/>
          </w:rPr>
          <w:t>Shared Boundary Agreement form</w:t>
        </w:r>
      </w:hyperlink>
      <w:r w:rsidRPr="00A57B59">
        <w:rPr>
          <w:sz w:val="22"/>
          <w:szCs w:val="22"/>
        </w:rPr>
        <w:t xml:space="preserve"> to be completed and signed by both parties.  The boundary agreement should be submitted with your FGS application as part of the supporting documents.  </w:t>
      </w:r>
    </w:p>
    <w:p w:rsidR="00A57F68" w:rsidRPr="00A57B59" w:rsidRDefault="00A57F68" w:rsidP="00A3390B">
      <w:pPr>
        <w:pStyle w:val="Default"/>
        <w:ind w:left="720"/>
        <w:jc w:val="both"/>
        <w:rPr>
          <w:sz w:val="22"/>
          <w:szCs w:val="22"/>
        </w:rPr>
      </w:pPr>
    </w:p>
    <w:p w:rsidR="00F95ED8" w:rsidRPr="00A57B59" w:rsidRDefault="00F95ED8" w:rsidP="00A3390B">
      <w:pPr>
        <w:pStyle w:val="Default"/>
        <w:ind w:left="720"/>
        <w:jc w:val="both"/>
        <w:rPr>
          <w:sz w:val="22"/>
          <w:szCs w:val="22"/>
        </w:rPr>
      </w:pPr>
      <w:r w:rsidRPr="00A57B59">
        <w:rPr>
          <w:sz w:val="22"/>
          <w:szCs w:val="22"/>
        </w:rPr>
        <w:t xml:space="preserve">The specification/requirements for the March Stock </w:t>
      </w:r>
      <w:r w:rsidR="00A57F68" w:rsidRPr="00A57B59">
        <w:rPr>
          <w:sz w:val="22"/>
          <w:szCs w:val="22"/>
        </w:rPr>
        <w:t>Fence are</w:t>
      </w:r>
      <w:r w:rsidRPr="00A57B59">
        <w:rPr>
          <w:sz w:val="22"/>
          <w:szCs w:val="22"/>
        </w:rPr>
        <w:t xml:space="preserve"> the same as the Stock Fence.  </w:t>
      </w:r>
    </w:p>
    <w:p w:rsidR="00F95ED8" w:rsidRPr="00A57B59" w:rsidRDefault="00F95ED8" w:rsidP="00A3390B">
      <w:pPr>
        <w:pStyle w:val="Default"/>
        <w:ind w:left="720"/>
        <w:jc w:val="both"/>
        <w:rPr>
          <w:sz w:val="22"/>
          <w:szCs w:val="22"/>
        </w:rPr>
      </w:pPr>
    </w:p>
    <w:p w:rsidR="00266BB3" w:rsidRDefault="00266BB3" w:rsidP="00A3390B">
      <w:pPr>
        <w:pStyle w:val="Default"/>
        <w:ind w:left="720"/>
        <w:jc w:val="both"/>
        <w:rPr>
          <w:sz w:val="22"/>
          <w:szCs w:val="22"/>
        </w:rPr>
      </w:pPr>
    </w:p>
    <w:p w:rsidR="00266BB3" w:rsidRDefault="00266BB3" w:rsidP="00A3390B">
      <w:pPr>
        <w:pStyle w:val="Default"/>
        <w:ind w:left="720"/>
        <w:jc w:val="both"/>
        <w:rPr>
          <w:sz w:val="22"/>
          <w:szCs w:val="22"/>
        </w:rPr>
      </w:pPr>
    </w:p>
    <w:p w:rsidR="00A57B59" w:rsidRDefault="00A3390B" w:rsidP="00A3390B">
      <w:pPr>
        <w:pStyle w:val="Default"/>
        <w:ind w:left="720"/>
        <w:jc w:val="both"/>
        <w:rPr>
          <w:sz w:val="22"/>
          <w:szCs w:val="22"/>
        </w:rPr>
      </w:pPr>
      <w:r w:rsidRPr="00A57B59">
        <w:rPr>
          <w:sz w:val="22"/>
          <w:szCs w:val="22"/>
        </w:rPr>
        <w:t xml:space="preserve">If the FGS application includes </w:t>
      </w:r>
      <w:r w:rsidR="00A57F68" w:rsidRPr="00A57B59">
        <w:rPr>
          <w:sz w:val="22"/>
          <w:szCs w:val="22"/>
        </w:rPr>
        <w:t xml:space="preserve">sections of fencing that have </w:t>
      </w:r>
      <w:r w:rsidRPr="00A57B59">
        <w:rPr>
          <w:sz w:val="22"/>
          <w:szCs w:val="22"/>
        </w:rPr>
        <w:t xml:space="preserve">full and shared responsibility, then the application </w:t>
      </w:r>
      <w:r w:rsidR="00A57F68" w:rsidRPr="00A57B59">
        <w:rPr>
          <w:sz w:val="22"/>
          <w:szCs w:val="22"/>
        </w:rPr>
        <w:t>can</w:t>
      </w:r>
      <w:r w:rsidRPr="00A57B59">
        <w:rPr>
          <w:sz w:val="22"/>
          <w:szCs w:val="22"/>
        </w:rPr>
        <w:t xml:space="preserve"> include </w:t>
      </w:r>
      <w:r w:rsidR="00A57F68" w:rsidRPr="00A57B59">
        <w:rPr>
          <w:sz w:val="22"/>
          <w:szCs w:val="22"/>
        </w:rPr>
        <w:t>both fencing types</w:t>
      </w:r>
      <w:r w:rsidRPr="00A57B59">
        <w:rPr>
          <w:sz w:val="22"/>
          <w:szCs w:val="22"/>
        </w:rPr>
        <w:t xml:space="preserve">; </w:t>
      </w:r>
      <w:r w:rsidR="00A57F68" w:rsidRPr="00A57B59">
        <w:rPr>
          <w:sz w:val="22"/>
          <w:szCs w:val="22"/>
        </w:rPr>
        <w:t xml:space="preserve">the stock </w:t>
      </w:r>
    </w:p>
    <w:p w:rsidR="00A57B59" w:rsidRDefault="00A57B59" w:rsidP="00A3390B">
      <w:pPr>
        <w:pStyle w:val="Default"/>
        <w:ind w:left="720"/>
        <w:jc w:val="both"/>
        <w:rPr>
          <w:sz w:val="22"/>
          <w:szCs w:val="22"/>
        </w:rPr>
      </w:pPr>
    </w:p>
    <w:p w:rsidR="00A3390B" w:rsidRPr="00A57B59" w:rsidRDefault="00A57F68" w:rsidP="00A3390B">
      <w:pPr>
        <w:pStyle w:val="Default"/>
        <w:ind w:left="720"/>
        <w:jc w:val="both"/>
        <w:rPr>
          <w:sz w:val="22"/>
          <w:szCs w:val="22"/>
        </w:rPr>
      </w:pPr>
      <w:r w:rsidRPr="00A57B59">
        <w:rPr>
          <w:sz w:val="22"/>
          <w:szCs w:val="22"/>
        </w:rPr>
        <w:t>fence item, for section(s)</w:t>
      </w:r>
      <w:r w:rsidR="00A3390B" w:rsidRPr="00A57B59">
        <w:rPr>
          <w:sz w:val="22"/>
          <w:szCs w:val="22"/>
        </w:rPr>
        <w:t xml:space="preserve"> with no share</w:t>
      </w:r>
      <w:r w:rsidRPr="00A57B59">
        <w:rPr>
          <w:sz w:val="22"/>
          <w:szCs w:val="22"/>
        </w:rPr>
        <w:t>d responsibility,</w:t>
      </w:r>
      <w:r w:rsidR="00A3390B" w:rsidRPr="00A57B59">
        <w:rPr>
          <w:sz w:val="22"/>
          <w:szCs w:val="22"/>
        </w:rPr>
        <w:t xml:space="preserve"> and </w:t>
      </w:r>
      <w:r w:rsidRPr="00A57B59">
        <w:rPr>
          <w:sz w:val="22"/>
          <w:szCs w:val="22"/>
        </w:rPr>
        <w:t xml:space="preserve">the March Stock Fence </w:t>
      </w:r>
      <w:r w:rsidR="00A3390B" w:rsidRPr="00A57B59">
        <w:rPr>
          <w:sz w:val="22"/>
          <w:szCs w:val="22"/>
        </w:rPr>
        <w:t>for the sectio</w:t>
      </w:r>
      <w:r w:rsidRPr="00A57B59">
        <w:rPr>
          <w:sz w:val="22"/>
          <w:szCs w:val="22"/>
        </w:rPr>
        <w:t>n(s) with shared responsibility</w:t>
      </w:r>
      <w:r w:rsidR="00A3390B" w:rsidRPr="00A57B59">
        <w:rPr>
          <w:sz w:val="22"/>
          <w:szCs w:val="22"/>
        </w:rPr>
        <w:t>.</w:t>
      </w:r>
    </w:p>
    <w:p w:rsidR="00A3390B" w:rsidRPr="00A57B59" w:rsidRDefault="00A3390B" w:rsidP="00A3390B">
      <w:pPr>
        <w:pStyle w:val="Default"/>
        <w:ind w:left="720"/>
        <w:jc w:val="both"/>
        <w:rPr>
          <w:sz w:val="22"/>
          <w:szCs w:val="22"/>
        </w:rPr>
      </w:pPr>
    </w:p>
    <w:p w:rsidR="00F95ED8" w:rsidRPr="00A57B59" w:rsidRDefault="00A3390B" w:rsidP="00A3390B">
      <w:pPr>
        <w:pStyle w:val="Default"/>
        <w:ind w:left="720"/>
        <w:jc w:val="both"/>
        <w:rPr>
          <w:sz w:val="22"/>
          <w:szCs w:val="22"/>
        </w:rPr>
      </w:pPr>
      <w:r w:rsidRPr="00A57B59">
        <w:rPr>
          <w:sz w:val="22"/>
          <w:szCs w:val="22"/>
        </w:rPr>
        <w:t>Please ensure your application, and documents supporting future ca</w:t>
      </w:r>
      <w:r w:rsidR="00A57F68" w:rsidRPr="00A57B59">
        <w:rPr>
          <w:sz w:val="22"/>
          <w:szCs w:val="22"/>
        </w:rPr>
        <w:t>pital claims, clearly identify</w:t>
      </w:r>
      <w:r w:rsidRPr="00A57B59">
        <w:rPr>
          <w:sz w:val="22"/>
          <w:szCs w:val="22"/>
        </w:rPr>
        <w:t xml:space="preserve"> the location of the different fence types</w:t>
      </w:r>
      <w:r w:rsidR="00F95ED8" w:rsidRPr="00A57B59">
        <w:rPr>
          <w:sz w:val="22"/>
          <w:szCs w:val="22"/>
        </w:rPr>
        <w:t xml:space="preserve"> (capital items)</w:t>
      </w:r>
      <w:r w:rsidRPr="00A57B59">
        <w:rPr>
          <w:sz w:val="22"/>
          <w:szCs w:val="22"/>
        </w:rPr>
        <w:t xml:space="preserve"> on a map using different</w:t>
      </w:r>
      <w:r w:rsidR="00F95ED8" w:rsidRPr="00A57B59">
        <w:rPr>
          <w:sz w:val="22"/>
          <w:szCs w:val="22"/>
        </w:rPr>
        <w:t xml:space="preserve"> </w:t>
      </w:r>
      <w:r w:rsidRPr="00A57B59">
        <w:rPr>
          <w:sz w:val="22"/>
          <w:szCs w:val="22"/>
        </w:rPr>
        <w:t>coloured lines for each</w:t>
      </w:r>
      <w:r w:rsidR="00F95ED8" w:rsidRPr="00A57B59">
        <w:rPr>
          <w:sz w:val="22"/>
          <w:szCs w:val="22"/>
        </w:rPr>
        <w:t xml:space="preserve"> fence type.</w:t>
      </w:r>
      <w:r w:rsidRPr="00A57B59">
        <w:rPr>
          <w:sz w:val="22"/>
          <w:szCs w:val="22"/>
        </w:rPr>
        <w:t xml:space="preserve"> </w:t>
      </w:r>
      <w:r w:rsidR="00F95ED8" w:rsidRPr="00A57B59">
        <w:rPr>
          <w:sz w:val="22"/>
          <w:szCs w:val="22"/>
        </w:rPr>
        <w:t xml:space="preserve"> </w:t>
      </w:r>
    </w:p>
    <w:p w:rsidR="00A3390B" w:rsidRPr="00A57B59" w:rsidRDefault="00F95ED8" w:rsidP="00A3390B">
      <w:pPr>
        <w:pStyle w:val="Default"/>
        <w:ind w:left="720"/>
        <w:jc w:val="both"/>
        <w:rPr>
          <w:rStyle w:val="Hyperlink"/>
          <w:sz w:val="22"/>
          <w:szCs w:val="22"/>
        </w:rPr>
      </w:pPr>
      <w:r w:rsidRPr="00A57B59">
        <w:rPr>
          <w:sz w:val="22"/>
          <w:szCs w:val="22"/>
        </w:rPr>
        <w:t>R</w:t>
      </w:r>
      <w:r w:rsidR="00A3390B" w:rsidRPr="00A57B59">
        <w:rPr>
          <w:sz w:val="22"/>
          <w:szCs w:val="22"/>
        </w:rPr>
        <w:t>efer to</w:t>
      </w:r>
      <w:r w:rsidRPr="00A57B59">
        <w:rPr>
          <w:sz w:val="22"/>
          <w:szCs w:val="22"/>
        </w:rPr>
        <w:t xml:space="preserve"> the ‘</w:t>
      </w:r>
      <w:r w:rsidRPr="00A57B59">
        <w:rPr>
          <w:i/>
          <w:sz w:val="22"/>
          <w:szCs w:val="22"/>
        </w:rPr>
        <w:t>what details should I show on the application map</w:t>
      </w:r>
      <w:r w:rsidRPr="00A57B59">
        <w:rPr>
          <w:sz w:val="22"/>
          <w:szCs w:val="22"/>
        </w:rPr>
        <w:t>’ section of the</w:t>
      </w:r>
      <w:r w:rsidR="00A3390B" w:rsidRPr="00A57B59">
        <w:rPr>
          <w:sz w:val="22"/>
          <w:szCs w:val="22"/>
        </w:rPr>
        <w:t xml:space="preserve"> </w:t>
      </w:r>
      <w:hyperlink r:id="rId8" w:anchor="78476" w:history="1">
        <w:r w:rsidR="00A3390B" w:rsidRPr="00A57B59">
          <w:rPr>
            <w:rStyle w:val="Hyperlink"/>
            <w:sz w:val="22"/>
            <w:szCs w:val="22"/>
          </w:rPr>
          <w:t>General mapping guidance</w:t>
        </w:r>
      </w:hyperlink>
      <w:r w:rsidR="00A3390B" w:rsidRPr="00A57B59">
        <w:rPr>
          <w:sz w:val="22"/>
          <w:szCs w:val="22"/>
        </w:rPr>
        <w:t xml:space="preserve"> and</w:t>
      </w:r>
      <w:r w:rsidRPr="00A57B59">
        <w:rPr>
          <w:sz w:val="22"/>
          <w:szCs w:val="22"/>
        </w:rPr>
        <w:t xml:space="preserve"> the</w:t>
      </w:r>
      <w:r w:rsidR="00A3390B" w:rsidRPr="00A57B59">
        <w:rPr>
          <w:sz w:val="22"/>
          <w:szCs w:val="22"/>
        </w:rPr>
        <w:t xml:space="preserve"> </w:t>
      </w:r>
      <w:hyperlink r:id="rId9" w:history="1">
        <w:r w:rsidR="00A3390B" w:rsidRPr="00A57B59">
          <w:rPr>
            <w:rStyle w:val="Hyperlink"/>
            <w:sz w:val="22"/>
            <w:szCs w:val="22"/>
          </w:rPr>
          <w:t>Example – Woodland Creation options map</w:t>
        </w:r>
      </w:hyperlink>
      <w:r w:rsidR="00A57F68" w:rsidRPr="00A57B59">
        <w:rPr>
          <w:rStyle w:val="Hyperlink"/>
          <w:sz w:val="22"/>
          <w:szCs w:val="22"/>
        </w:rPr>
        <w:t>.</w:t>
      </w:r>
    </w:p>
    <w:p w:rsidR="00A3390B" w:rsidRPr="00A57B59" w:rsidRDefault="00A3390B" w:rsidP="00A3390B">
      <w:pPr>
        <w:pStyle w:val="Default"/>
        <w:ind w:left="720"/>
        <w:jc w:val="both"/>
        <w:rPr>
          <w:sz w:val="22"/>
          <w:szCs w:val="22"/>
        </w:rPr>
      </w:pPr>
    </w:p>
    <w:p w:rsidR="00806F8F" w:rsidRPr="00A57B59" w:rsidRDefault="00A3390B" w:rsidP="00990065">
      <w:pPr>
        <w:pStyle w:val="Default"/>
        <w:numPr>
          <w:ilvl w:val="0"/>
          <w:numId w:val="7"/>
        </w:numPr>
        <w:jc w:val="both"/>
        <w:rPr>
          <w:sz w:val="22"/>
          <w:szCs w:val="22"/>
        </w:rPr>
      </w:pPr>
      <w:r w:rsidRPr="00A57B59">
        <w:rPr>
          <w:b/>
          <w:sz w:val="22"/>
          <w:szCs w:val="22"/>
        </w:rPr>
        <w:t xml:space="preserve">Initial Planting using </w:t>
      </w:r>
      <w:r w:rsidR="00806F8F" w:rsidRPr="00A57B59">
        <w:rPr>
          <w:b/>
          <w:sz w:val="22"/>
          <w:szCs w:val="22"/>
        </w:rPr>
        <w:t>Ploughing</w:t>
      </w:r>
      <w:r w:rsidR="00806F8F" w:rsidRPr="00A57B59">
        <w:rPr>
          <w:sz w:val="22"/>
          <w:szCs w:val="22"/>
        </w:rPr>
        <w:t xml:space="preserve"> </w:t>
      </w:r>
      <w:r w:rsidRPr="00A57B59">
        <w:rPr>
          <w:b/>
          <w:sz w:val="22"/>
          <w:szCs w:val="22"/>
        </w:rPr>
        <w:t>rate</w:t>
      </w:r>
      <w:r w:rsidRPr="00A57B59">
        <w:rPr>
          <w:sz w:val="22"/>
          <w:szCs w:val="22"/>
        </w:rPr>
        <w:t xml:space="preserve"> </w:t>
      </w:r>
      <w:r w:rsidR="00806F8F" w:rsidRPr="00A57B59">
        <w:rPr>
          <w:b/>
          <w:sz w:val="22"/>
          <w:szCs w:val="22"/>
        </w:rPr>
        <w:t>= refer to table below</w:t>
      </w:r>
      <w:r w:rsidR="00806F8F" w:rsidRPr="00A57B59">
        <w:rPr>
          <w:sz w:val="22"/>
          <w:szCs w:val="22"/>
        </w:rPr>
        <w:t xml:space="preserve"> </w:t>
      </w:r>
    </w:p>
    <w:p w:rsidR="00A3390B" w:rsidRPr="00A57B59" w:rsidRDefault="00806F8F" w:rsidP="00990065">
      <w:pPr>
        <w:pStyle w:val="Default"/>
        <w:ind w:left="720"/>
        <w:jc w:val="both"/>
        <w:rPr>
          <w:sz w:val="22"/>
          <w:szCs w:val="22"/>
        </w:rPr>
      </w:pPr>
      <w:r w:rsidRPr="00A57B59">
        <w:rPr>
          <w:sz w:val="22"/>
          <w:szCs w:val="22"/>
        </w:rPr>
        <w:t xml:space="preserve">(associated with the Woodland Creation for: </w:t>
      </w:r>
    </w:p>
    <w:p w:rsidR="00DE12A3" w:rsidRPr="00A57B59" w:rsidRDefault="00806F8F" w:rsidP="00990065">
      <w:pPr>
        <w:pStyle w:val="Default"/>
        <w:ind w:left="720"/>
        <w:jc w:val="both"/>
        <w:rPr>
          <w:sz w:val="22"/>
          <w:szCs w:val="22"/>
        </w:rPr>
      </w:pPr>
      <w:r w:rsidRPr="00A57B59">
        <w:rPr>
          <w:sz w:val="22"/>
          <w:szCs w:val="22"/>
        </w:rPr>
        <w:t>Conifer; Diverse Conifer; Broadleaves; or Small or Farm Woodland)</w:t>
      </w:r>
    </w:p>
    <w:p w:rsidR="00A57B59" w:rsidRPr="00A57B59" w:rsidRDefault="00A57B59" w:rsidP="00990065">
      <w:pPr>
        <w:pStyle w:val="Default"/>
        <w:ind w:left="720"/>
        <w:jc w:val="both"/>
        <w:rPr>
          <w:sz w:val="22"/>
          <w:szCs w:val="22"/>
        </w:rPr>
      </w:pPr>
    </w:p>
    <w:tbl>
      <w:tblPr>
        <w:tblStyle w:val="TableGrid"/>
        <w:tblW w:w="8320" w:type="dxa"/>
        <w:tblInd w:w="704" w:type="dxa"/>
        <w:tblLook w:val="04A0" w:firstRow="1" w:lastRow="0" w:firstColumn="1" w:lastColumn="0" w:noHBand="0" w:noVBand="1"/>
      </w:tblPr>
      <w:tblGrid>
        <w:gridCol w:w="1217"/>
        <w:gridCol w:w="1048"/>
        <w:gridCol w:w="1454"/>
        <w:gridCol w:w="1049"/>
        <w:gridCol w:w="1049"/>
        <w:gridCol w:w="1454"/>
        <w:gridCol w:w="1049"/>
      </w:tblGrid>
      <w:tr w:rsidR="00806F8F" w:rsidRPr="00A57B59" w:rsidTr="002D3BA9">
        <w:trPr>
          <w:trHeight w:val="695"/>
        </w:trPr>
        <w:tc>
          <w:tcPr>
            <w:tcW w:w="100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806F8F" w:rsidRPr="00A57B59" w:rsidRDefault="00DE12A3" w:rsidP="00E36C95">
            <w:pPr>
              <w:spacing w:before="100" w:beforeAutospacing="1" w:after="100" w:afterAutospacing="1"/>
              <w:jc w:val="center"/>
              <w:rPr>
                <w:rFonts w:cs="Arial"/>
                <w:b/>
                <w:bCs/>
                <w:color w:val="FFFFFF" w:themeColor="background1"/>
                <w:sz w:val="18"/>
                <w:szCs w:val="18"/>
                <w:lang w:eastAsia="en-GB"/>
              </w:rPr>
            </w:pPr>
            <w:r w:rsidRPr="00A57B59">
              <w:rPr>
                <w:rFonts w:cs="Arial"/>
                <w:b/>
                <w:bCs/>
                <w:color w:val="FFFFFF" w:themeColor="background1"/>
                <w:sz w:val="18"/>
                <w:szCs w:val="18"/>
                <w:lang w:eastAsia="en-GB"/>
              </w:rPr>
              <w:t>Woodland Creation Opt</w:t>
            </w:r>
            <w:r w:rsidR="00806F8F" w:rsidRPr="00A57B59">
              <w:rPr>
                <w:rFonts w:cs="Arial"/>
                <w:b/>
                <w:bCs/>
                <w:color w:val="FFFFFF" w:themeColor="background1"/>
                <w:sz w:val="18"/>
                <w:szCs w:val="18"/>
                <w:lang w:eastAsia="en-GB"/>
              </w:rPr>
              <w:t>ion</w:t>
            </w:r>
          </w:p>
        </w:tc>
        <w:tc>
          <w:tcPr>
            <w:tcW w:w="366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806F8F" w:rsidRPr="00A57B59" w:rsidRDefault="00806F8F" w:rsidP="00E36C95">
            <w:pPr>
              <w:spacing w:before="100" w:beforeAutospacing="1" w:after="100" w:afterAutospacing="1"/>
              <w:jc w:val="center"/>
              <w:rPr>
                <w:rFonts w:cs="Arial"/>
                <w:b/>
                <w:bCs/>
                <w:color w:val="FFFFFF" w:themeColor="background1"/>
                <w:sz w:val="18"/>
                <w:szCs w:val="18"/>
                <w:lang w:eastAsia="en-GB"/>
              </w:rPr>
            </w:pPr>
            <w:r w:rsidRPr="00A57B59">
              <w:rPr>
                <w:rFonts w:cs="Arial"/>
                <w:b/>
                <w:bCs/>
                <w:color w:val="FFFFFF" w:themeColor="background1"/>
                <w:sz w:val="18"/>
                <w:szCs w:val="18"/>
                <w:lang w:eastAsia="en-GB"/>
              </w:rPr>
              <w:t>Payment rates for</w:t>
            </w:r>
            <w:r w:rsidR="00DE12A3" w:rsidRPr="00A57B59">
              <w:rPr>
                <w:rFonts w:cs="Arial"/>
                <w:b/>
                <w:bCs/>
                <w:color w:val="FFFFFF" w:themeColor="background1"/>
                <w:sz w:val="18"/>
                <w:szCs w:val="18"/>
                <w:lang w:eastAsia="en-GB"/>
              </w:rPr>
              <w:t xml:space="preserve"> Initial Planting using</w:t>
            </w:r>
            <w:r w:rsidRPr="00A57B59">
              <w:rPr>
                <w:rFonts w:cs="Arial"/>
                <w:b/>
                <w:bCs/>
                <w:color w:val="FFFFFF" w:themeColor="background1"/>
                <w:sz w:val="18"/>
                <w:szCs w:val="18"/>
                <w:lang w:eastAsia="en-GB"/>
              </w:rPr>
              <w:t xml:space="preserve"> ploughing in</w:t>
            </w:r>
          </w:p>
          <w:p w:rsidR="00806F8F" w:rsidRPr="00A57B59" w:rsidRDefault="00806F8F" w:rsidP="00E36C95">
            <w:pPr>
              <w:spacing w:before="100" w:beforeAutospacing="1" w:after="100" w:afterAutospacing="1"/>
              <w:jc w:val="center"/>
              <w:rPr>
                <w:rFonts w:cs="Arial"/>
                <w:b/>
                <w:bCs/>
                <w:color w:val="FFFFFF" w:themeColor="background1"/>
                <w:sz w:val="18"/>
                <w:szCs w:val="18"/>
                <w:lang w:eastAsia="en-GB"/>
              </w:rPr>
            </w:pPr>
            <w:r w:rsidRPr="00A57B59">
              <w:rPr>
                <w:rFonts w:cs="Arial"/>
                <w:b/>
                <w:bCs/>
                <w:color w:val="FFFFFF" w:themeColor="background1"/>
                <w:sz w:val="18"/>
                <w:szCs w:val="18"/>
                <w:lang w:eastAsia="en-GB"/>
              </w:rPr>
              <w:t>standard areas</w:t>
            </w:r>
          </w:p>
        </w:tc>
        <w:tc>
          <w:tcPr>
            <w:tcW w:w="366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806F8F" w:rsidRPr="00A57B59" w:rsidRDefault="00806F8F" w:rsidP="00611F9D">
            <w:pPr>
              <w:spacing w:before="100" w:beforeAutospacing="1" w:after="100" w:afterAutospacing="1"/>
              <w:jc w:val="center"/>
              <w:rPr>
                <w:rFonts w:cs="Arial"/>
                <w:b/>
                <w:bCs/>
                <w:color w:val="FFFFFF" w:themeColor="background1"/>
                <w:sz w:val="18"/>
                <w:szCs w:val="18"/>
                <w:lang w:eastAsia="en-GB"/>
              </w:rPr>
            </w:pPr>
            <w:r w:rsidRPr="00A57B59">
              <w:rPr>
                <w:rFonts w:cs="Arial"/>
                <w:b/>
                <w:bCs/>
                <w:color w:val="FFFFFF" w:themeColor="background1"/>
                <w:sz w:val="18"/>
                <w:szCs w:val="18"/>
                <w:lang w:eastAsia="en-GB"/>
              </w:rPr>
              <w:t>Payment rates for</w:t>
            </w:r>
            <w:r w:rsidR="00DE12A3" w:rsidRPr="00A57B59">
              <w:rPr>
                <w:rFonts w:cs="Arial"/>
                <w:b/>
                <w:bCs/>
                <w:color w:val="FFFFFF" w:themeColor="background1"/>
                <w:sz w:val="18"/>
                <w:szCs w:val="18"/>
                <w:lang w:eastAsia="en-GB"/>
              </w:rPr>
              <w:t xml:space="preserve"> Initial Planting using</w:t>
            </w:r>
            <w:r w:rsidRPr="00A57B59">
              <w:rPr>
                <w:rFonts w:cs="Arial"/>
                <w:b/>
                <w:bCs/>
                <w:color w:val="FFFFFF" w:themeColor="background1"/>
                <w:sz w:val="18"/>
                <w:szCs w:val="18"/>
                <w:lang w:eastAsia="en-GB"/>
              </w:rPr>
              <w:t xml:space="preserve"> ploughing in</w:t>
            </w:r>
          </w:p>
          <w:p w:rsidR="00806F8F" w:rsidRPr="00A57B59" w:rsidRDefault="00806F8F" w:rsidP="00611F9D">
            <w:pPr>
              <w:spacing w:before="100" w:beforeAutospacing="1" w:after="100" w:afterAutospacing="1"/>
              <w:jc w:val="center"/>
              <w:rPr>
                <w:rFonts w:cs="Arial"/>
                <w:b/>
                <w:bCs/>
                <w:color w:val="FFFFFF" w:themeColor="background1"/>
                <w:sz w:val="18"/>
                <w:szCs w:val="18"/>
                <w:lang w:eastAsia="en-GB"/>
              </w:rPr>
            </w:pPr>
            <w:r w:rsidRPr="00A57B59">
              <w:rPr>
                <w:rFonts w:cs="Arial"/>
                <w:b/>
                <w:bCs/>
                <w:color w:val="FFFFFF" w:themeColor="background1"/>
                <w:sz w:val="18"/>
                <w:szCs w:val="18"/>
                <w:lang w:eastAsia="en-GB"/>
              </w:rPr>
              <w:t>target areas</w:t>
            </w:r>
          </w:p>
        </w:tc>
      </w:tr>
      <w:tr w:rsidR="00806F8F" w:rsidRPr="00A57B59" w:rsidTr="002D3BA9">
        <w:tc>
          <w:tcPr>
            <w:tcW w:w="1000" w:type="dxa"/>
            <w:tcBorders>
              <w:top w:val="single" w:sz="4" w:space="0" w:color="auto"/>
              <w:left w:val="single" w:sz="4" w:space="0" w:color="auto"/>
              <w:bottom w:val="single" w:sz="4" w:space="0" w:color="auto"/>
              <w:right w:val="single" w:sz="4" w:space="0" w:color="auto"/>
            </w:tcBorders>
          </w:tcPr>
          <w:p w:rsidR="00806F8F" w:rsidRPr="00A57B59" w:rsidRDefault="00806F8F" w:rsidP="00E36C95">
            <w:pPr>
              <w:spacing w:before="100" w:beforeAutospacing="1" w:after="100" w:afterAutospacing="1"/>
              <w:jc w:val="center"/>
              <w:rPr>
                <w:rFonts w:cs="Arial"/>
                <w:b/>
                <w:bCs/>
                <w:color w:val="333333"/>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
                <w:bCs/>
                <w:color w:val="333333"/>
                <w:sz w:val="18"/>
                <w:szCs w:val="18"/>
                <w:lang w:eastAsia="en-GB"/>
              </w:rPr>
            </w:pPr>
            <w:r w:rsidRPr="00A57B59">
              <w:rPr>
                <w:rFonts w:cs="Arial"/>
                <w:b/>
                <w:bCs/>
                <w:color w:val="333333"/>
                <w:sz w:val="18"/>
                <w:szCs w:val="18"/>
                <w:lang w:eastAsia="en-GB"/>
              </w:rPr>
              <w:t>Initial planting</w:t>
            </w:r>
            <w:r w:rsidRPr="00A57B59">
              <w:rPr>
                <w:rFonts w:cs="Arial"/>
                <w:b/>
                <w:bCs/>
                <w:color w:val="333333"/>
                <w:sz w:val="18"/>
                <w:szCs w:val="18"/>
                <w:lang w:eastAsia="en-GB"/>
              </w:rPr>
              <w:br/>
              <w:t>payment rate (£/ha)</w:t>
            </w:r>
          </w:p>
        </w:tc>
        <w:tc>
          <w:tcPr>
            <w:tcW w:w="150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
                <w:bCs/>
                <w:color w:val="333333"/>
                <w:sz w:val="18"/>
                <w:szCs w:val="18"/>
                <w:lang w:eastAsia="en-GB"/>
              </w:rPr>
            </w:pPr>
            <w:r w:rsidRPr="00A57B59">
              <w:rPr>
                <w:rFonts w:cs="Arial"/>
                <w:b/>
                <w:bCs/>
                <w:color w:val="333333"/>
                <w:sz w:val="18"/>
                <w:szCs w:val="18"/>
                <w:lang w:eastAsia="en-GB"/>
              </w:rPr>
              <w:t>Annual maintenance payment rate (£/ha/year) for five years</w:t>
            </w:r>
          </w:p>
        </w:tc>
        <w:tc>
          <w:tcPr>
            <w:tcW w:w="108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
                <w:bCs/>
                <w:color w:val="333333"/>
                <w:sz w:val="18"/>
                <w:szCs w:val="18"/>
                <w:lang w:eastAsia="en-GB"/>
              </w:rPr>
            </w:pPr>
            <w:r w:rsidRPr="00A57B59">
              <w:rPr>
                <w:rFonts w:cs="Arial"/>
                <w:b/>
                <w:bCs/>
                <w:color w:val="333333"/>
                <w:sz w:val="18"/>
                <w:szCs w:val="18"/>
                <w:lang w:eastAsia="en-GB"/>
              </w:rPr>
              <w:t>Total payment rate (£/ha)</w:t>
            </w:r>
          </w:p>
        </w:tc>
        <w:tc>
          <w:tcPr>
            <w:tcW w:w="108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
                <w:bCs/>
                <w:color w:val="333333"/>
                <w:sz w:val="18"/>
                <w:szCs w:val="18"/>
                <w:lang w:eastAsia="en-GB"/>
              </w:rPr>
            </w:pPr>
            <w:r w:rsidRPr="00A57B59">
              <w:rPr>
                <w:rFonts w:cs="Arial"/>
                <w:b/>
                <w:bCs/>
                <w:color w:val="333333"/>
                <w:sz w:val="18"/>
                <w:szCs w:val="18"/>
                <w:lang w:eastAsia="en-GB"/>
              </w:rPr>
              <w:t>Initial planting</w:t>
            </w:r>
            <w:r w:rsidRPr="00A57B59">
              <w:rPr>
                <w:rFonts w:cs="Arial"/>
                <w:b/>
                <w:bCs/>
                <w:color w:val="333333"/>
                <w:sz w:val="18"/>
                <w:szCs w:val="18"/>
                <w:lang w:eastAsia="en-GB"/>
              </w:rPr>
              <w:br/>
              <w:t>payment rate (£/ha)</w:t>
            </w:r>
          </w:p>
        </w:tc>
        <w:tc>
          <w:tcPr>
            <w:tcW w:w="150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
                <w:bCs/>
                <w:color w:val="333333"/>
                <w:sz w:val="18"/>
                <w:szCs w:val="18"/>
                <w:lang w:eastAsia="en-GB"/>
              </w:rPr>
            </w:pPr>
            <w:r w:rsidRPr="00A57B59">
              <w:rPr>
                <w:rFonts w:cs="Arial"/>
                <w:b/>
                <w:bCs/>
                <w:color w:val="333333"/>
                <w:sz w:val="18"/>
                <w:szCs w:val="18"/>
                <w:lang w:eastAsia="en-GB"/>
              </w:rPr>
              <w:t>Annual maintenance payment rate (£/ha/year) for five years</w:t>
            </w:r>
          </w:p>
        </w:tc>
        <w:tc>
          <w:tcPr>
            <w:tcW w:w="108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
                <w:bCs/>
                <w:color w:val="333333"/>
                <w:sz w:val="18"/>
                <w:szCs w:val="18"/>
                <w:lang w:eastAsia="en-GB"/>
              </w:rPr>
            </w:pPr>
            <w:r w:rsidRPr="00A57B59">
              <w:rPr>
                <w:rFonts w:cs="Arial"/>
                <w:b/>
                <w:bCs/>
                <w:color w:val="333333"/>
                <w:sz w:val="18"/>
                <w:szCs w:val="18"/>
                <w:lang w:eastAsia="en-GB"/>
              </w:rPr>
              <w:t>Total payment rate (£/ha)</w:t>
            </w:r>
          </w:p>
        </w:tc>
      </w:tr>
      <w:tr w:rsidR="00806F8F" w:rsidRPr="00A57B59" w:rsidTr="002D3BA9">
        <w:tc>
          <w:tcPr>
            <w:tcW w:w="100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Cs/>
                <w:color w:val="333333"/>
                <w:sz w:val="18"/>
                <w:szCs w:val="18"/>
                <w:lang w:eastAsia="en-GB"/>
              </w:rPr>
            </w:pPr>
            <w:r w:rsidRPr="00A57B59">
              <w:rPr>
                <w:rFonts w:cs="Arial"/>
                <w:bCs/>
                <w:color w:val="333333"/>
                <w:sz w:val="18"/>
                <w:szCs w:val="18"/>
                <w:lang w:eastAsia="en-GB"/>
              </w:rPr>
              <w:t>Conifer</w:t>
            </w:r>
          </w:p>
        </w:tc>
        <w:tc>
          <w:tcPr>
            <w:tcW w:w="108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Cs/>
                <w:color w:val="333333"/>
                <w:sz w:val="18"/>
                <w:szCs w:val="18"/>
                <w:lang w:eastAsia="en-GB"/>
              </w:rPr>
            </w:pPr>
            <w:r w:rsidRPr="00A57B59">
              <w:rPr>
                <w:rFonts w:cs="Arial"/>
                <w:bCs/>
                <w:color w:val="333333"/>
                <w:sz w:val="18"/>
                <w:szCs w:val="18"/>
                <w:lang w:eastAsia="en-GB"/>
              </w:rPr>
              <w:t>1680</w:t>
            </w:r>
          </w:p>
        </w:tc>
        <w:tc>
          <w:tcPr>
            <w:tcW w:w="150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Cs/>
                <w:color w:val="333333"/>
                <w:sz w:val="18"/>
                <w:szCs w:val="18"/>
                <w:lang w:eastAsia="en-GB"/>
              </w:rPr>
            </w:pPr>
            <w:r w:rsidRPr="00A57B59">
              <w:rPr>
                <w:rFonts w:cs="Arial"/>
                <w:bCs/>
                <w:color w:val="333333"/>
                <w:sz w:val="18"/>
                <w:szCs w:val="18"/>
                <w:lang w:eastAsia="en-GB"/>
              </w:rPr>
              <w:t>208</w:t>
            </w:r>
          </w:p>
        </w:tc>
        <w:tc>
          <w:tcPr>
            <w:tcW w:w="1080" w:type="dxa"/>
            <w:tcBorders>
              <w:top w:val="single" w:sz="4" w:space="0" w:color="auto"/>
              <w:left w:val="single" w:sz="4" w:space="0" w:color="auto"/>
              <w:bottom w:val="single" w:sz="4" w:space="0" w:color="auto"/>
              <w:right w:val="single" w:sz="4" w:space="0" w:color="auto"/>
            </w:tcBorders>
            <w:hideMark/>
          </w:tcPr>
          <w:p w:rsidR="00806F8F" w:rsidRPr="00A57B59" w:rsidRDefault="00692BA9" w:rsidP="00E36C95">
            <w:pPr>
              <w:spacing w:before="100" w:beforeAutospacing="1" w:after="100" w:afterAutospacing="1"/>
              <w:jc w:val="center"/>
              <w:rPr>
                <w:rFonts w:cs="Arial"/>
                <w:bCs/>
                <w:color w:val="333333"/>
                <w:sz w:val="18"/>
                <w:szCs w:val="18"/>
                <w:lang w:eastAsia="en-GB"/>
              </w:rPr>
            </w:pPr>
            <w:r>
              <w:rPr>
                <w:rFonts w:cs="Arial"/>
                <w:bCs/>
                <w:color w:val="333333"/>
                <w:sz w:val="18"/>
                <w:szCs w:val="18"/>
                <w:lang w:eastAsia="en-GB"/>
              </w:rPr>
              <w:t>2720</w:t>
            </w:r>
          </w:p>
        </w:tc>
        <w:tc>
          <w:tcPr>
            <w:tcW w:w="108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Cs/>
                <w:color w:val="333333"/>
                <w:sz w:val="18"/>
                <w:szCs w:val="18"/>
                <w:lang w:eastAsia="en-GB"/>
              </w:rPr>
            </w:pPr>
            <w:r w:rsidRPr="00A57B59">
              <w:rPr>
                <w:rFonts w:cs="Arial"/>
                <w:bCs/>
                <w:color w:val="333333"/>
                <w:sz w:val="18"/>
                <w:szCs w:val="18"/>
                <w:lang w:eastAsia="en-GB"/>
              </w:rPr>
              <w:t>1920</w:t>
            </w:r>
          </w:p>
        </w:tc>
        <w:tc>
          <w:tcPr>
            <w:tcW w:w="150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Cs/>
                <w:color w:val="333333"/>
                <w:sz w:val="18"/>
                <w:szCs w:val="18"/>
                <w:lang w:eastAsia="en-GB"/>
              </w:rPr>
            </w:pPr>
            <w:r w:rsidRPr="00A57B59">
              <w:rPr>
                <w:rFonts w:cs="Arial"/>
                <w:bCs/>
                <w:color w:val="333333"/>
                <w:sz w:val="18"/>
                <w:szCs w:val="18"/>
                <w:lang w:eastAsia="en-GB"/>
              </w:rPr>
              <w:t>234</w:t>
            </w:r>
          </w:p>
        </w:tc>
        <w:tc>
          <w:tcPr>
            <w:tcW w:w="1080" w:type="dxa"/>
            <w:tcBorders>
              <w:top w:val="single" w:sz="4" w:space="0" w:color="auto"/>
              <w:left w:val="single" w:sz="4" w:space="0" w:color="auto"/>
              <w:bottom w:val="single" w:sz="4" w:space="0" w:color="auto"/>
              <w:right w:val="single" w:sz="4" w:space="0" w:color="auto"/>
            </w:tcBorders>
            <w:hideMark/>
          </w:tcPr>
          <w:p w:rsidR="00806F8F" w:rsidRPr="00A57B59" w:rsidRDefault="00692BA9" w:rsidP="00E36C95">
            <w:pPr>
              <w:spacing w:before="100" w:beforeAutospacing="1" w:after="100" w:afterAutospacing="1"/>
              <w:jc w:val="center"/>
              <w:rPr>
                <w:rFonts w:cs="Arial"/>
                <w:bCs/>
                <w:color w:val="333333"/>
                <w:sz w:val="18"/>
                <w:szCs w:val="18"/>
                <w:lang w:eastAsia="en-GB"/>
              </w:rPr>
            </w:pPr>
            <w:r>
              <w:rPr>
                <w:rFonts w:cs="Arial"/>
                <w:bCs/>
                <w:color w:val="333333"/>
                <w:sz w:val="18"/>
                <w:szCs w:val="18"/>
                <w:lang w:eastAsia="en-GB"/>
              </w:rPr>
              <w:t>3090</w:t>
            </w:r>
          </w:p>
        </w:tc>
      </w:tr>
      <w:tr w:rsidR="00806F8F" w:rsidRPr="00A57B59" w:rsidTr="002D3BA9">
        <w:tc>
          <w:tcPr>
            <w:tcW w:w="100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Cs/>
                <w:color w:val="333333"/>
                <w:sz w:val="18"/>
                <w:szCs w:val="18"/>
                <w:lang w:eastAsia="en-GB"/>
              </w:rPr>
            </w:pPr>
            <w:r w:rsidRPr="00A57B59">
              <w:rPr>
                <w:rFonts w:cs="Arial"/>
                <w:bCs/>
                <w:color w:val="333333"/>
                <w:sz w:val="18"/>
                <w:szCs w:val="18"/>
                <w:lang w:eastAsia="en-GB"/>
              </w:rPr>
              <w:t>Diverse Conifer</w:t>
            </w:r>
          </w:p>
        </w:tc>
        <w:tc>
          <w:tcPr>
            <w:tcW w:w="108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Cs/>
                <w:color w:val="333333"/>
                <w:sz w:val="18"/>
                <w:szCs w:val="18"/>
                <w:lang w:eastAsia="en-GB"/>
              </w:rPr>
            </w:pPr>
            <w:r w:rsidRPr="00A57B59">
              <w:rPr>
                <w:rFonts w:cs="Arial"/>
                <w:bCs/>
                <w:color w:val="333333"/>
                <w:sz w:val="18"/>
                <w:szCs w:val="18"/>
                <w:lang w:eastAsia="en-GB"/>
              </w:rPr>
              <w:t>1890</w:t>
            </w:r>
          </w:p>
        </w:tc>
        <w:tc>
          <w:tcPr>
            <w:tcW w:w="150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Cs/>
                <w:color w:val="333333"/>
                <w:sz w:val="18"/>
                <w:szCs w:val="18"/>
                <w:lang w:eastAsia="en-GB"/>
              </w:rPr>
            </w:pPr>
            <w:r w:rsidRPr="00A57B59">
              <w:rPr>
                <w:rFonts w:cs="Arial"/>
                <w:bCs/>
                <w:color w:val="333333"/>
                <w:sz w:val="18"/>
                <w:szCs w:val="18"/>
                <w:lang w:eastAsia="en-GB"/>
              </w:rPr>
              <w:t>336</w:t>
            </w:r>
          </w:p>
        </w:tc>
        <w:tc>
          <w:tcPr>
            <w:tcW w:w="1080" w:type="dxa"/>
            <w:tcBorders>
              <w:top w:val="single" w:sz="4" w:space="0" w:color="auto"/>
              <w:left w:val="single" w:sz="4" w:space="0" w:color="auto"/>
              <w:bottom w:val="single" w:sz="4" w:space="0" w:color="auto"/>
              <w:right w:val="single" w:sz="4" w:space="0" w:color="auto"/>
            </w:tcBorders>
            <w:hideMark/>
          </w:tcPr>
          <w:p w:rsidR="00806F8F" w:rsidRPr="00A57B59" w:rsidRDefault="00692BA9" w:rsidP="00E36C95">
            <w:pPr>
              <w:spacing w:before="100" w:beforeAutospacing="1" w:after="100" w:afterAutospacing="1"/>
              <w:jc w:val="center"/>
              <w:rPr>
                <w:rFonts w:cs="Arial"/>
                <w:bCs/>
                <w:color w:val="333333"/>
                <w:sz w:val="18"/>
                <w:szCs w:val="18"/>
                <w:lang w:eastAsia="en-GB"/>
              </w:rPr>
            </w:pPr>
            <w:r>
              <w:rPr>
                <w:rFonts w:cs="Arial"/>
                <w:bCs/>
                <w:color w:val="333333"/>
                <w:sz w:val="18"/>
                <w:szCs w:val="18"/>
                <w:lang w:eastAsia="en-GB"/>
              </w:rPr>
              <w:t>3570</w:t>
            </w:r>
          </w:p>
        </w:tc>
        <w:tc>
          <w:tcPr>
            <w:tcW w:w="108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Cs/>
                <w:color w:val="333333"/>
                <w:sz w:val="18"/>
                <w:szCs w:val="18"/>
                <w:lang w:eastAsia="en-GB"/>
              </w:rPr>
            </w:pPr>
            <w:r w:rsidRPr="00A57B59">
              <w:rPr>
                <w:rFonts w:cs="Arial"/>
                <w:bCs/>
                <w:color w:val="333333"/>
                <w:sz w:val="18"/>
                <w:szCs w:val="18"/>
                <w:lang w:eastAsia="en-GB"/>
              </w:rPr>
              <w:t>2160</w:t>
            </w:r>
          </w:p>
        </w:tc>
        <w:tc>
          <w:tcPr>
            <w:tcW w:w="150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Cs/>
                <w:color w:val="333333"/>
                <w:sz w:val="18"/>
                <w:szCs w:val="18"/>
                <w:lang w:eastAsia="en-GB"/>
              </w:rPr>
            </w:pPr>
            <w:r w:rsidRPr="00A57B59">
              <w:rPr>
                <w:rFonts w:cs="Arial"/>
                <w:bCs/>
                <w:color w:val="333333"/>
                <w:sz w:val="18"/>
                <w:szCs w:val="18"/>
                <w:lang w:eastAsia="en-GB"/>
              </w:rPr>
              <w:t>378</w:t>
            </w:r>
          </w:p>
        </w:tc>
        <w:tc>
          <w:tcPr>
            <w:tcW w:w="1080" w:type="dxa"/>
            <w:tcBorders>
              <w:top w:val="single" w:sz="4" w:space="0" w:color="auto"/>
              <w:left w:val="single" w:sz="4" w:space="0" w:color="auto"/>
              <w:bottom w:val="single" w:sz="4" w:space="0" w:color="auto"/>
              <w:right w:val="single" w:sz="4" w:space="0" w:color="auto"/>
            </w:tcBorders>
            <w:hideMark/>
          </w:tcPr>
          <w:p w:rsidR="00806F8F" w:rsidRPr="00A57B59" w:rsidRDefault="00692BA9" w:rsidP="00E36C95">
            <w:pPr>
              <w:spacing w:before="100" w:beforeAutospacing="1" w:after="100" w:afterAutospacing="1"/>
              <w:jc w:val="center"/>
              <w:rPr>
                <w:rFonts w:cs="Arial"/>
                <w:bCs/>
                <w:color w:val="333333"/>
                <w:sz w:val="18"/>
                <w:szCs w:val="18"/>
                <w:lang w:eastAsia="en-GB"/>
              </w:rPr>
            </w:pPr>
            <w:r>
              <w:rPr>
                <w:rFonts w:cs="Arial"/>
                <w:bCs/>
                <w:color w:val="333333"/>
                <w:sz w:val="18"/>
                <w:szCs w:val="18"/>
                <w:lang w:eastAsia="en-GB"/>
              </w:rPr>
              <w:t>4050</w:t>
            </w:r>
          </w:p>
        </w:tc>
      </w:tr>
      <w:tr w:rsidR="00806F8F" w:rsidRPr="00A57B59" w:rsidTr="002D3BA9">
        <w:tc>
          <w:tcPr>
            <w:tcW w:w="100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Cs/>
                <w:color w:val="333333"/>
                <w:sz w:val="18"/>
                <w:szCs w:val="18"/>
                <w:lang w:eastAsia="en-GB"/>
              </w:rPr>
            </w:pPr>
            <w:r w:rsidRPr="00A57B59">
              <w:rPr>
                <w:rFonts w:cs="Arial"/>
                <w:bCs/>
                <w:color w:val="333333"/>
                <w:sz w:val="18"/>
                <w:szCs w:val="18"/>
                <w:lang w:eastAsia="en-GB"/>
              </w:rPr>
              <w:t>Broadleaves</w:t>
            </w:r>
          </w:p>
        </w:tc>
        <w:tc>
          <w:tcPr>
            <w:tcW w:w="108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Cs/>
                <w:color w:val="333333"/>
                <w:sz w:val="18"/>
                <w:szCs w:val="18"/>
                <w:lang w:eastAsia="en-GB"/>
              </w:rPr>
            </w:pPr>
            <w:r w:rsidRPr="00A57B59">
              <w:rPr>
                <w:rFonts w:cs="Arial"/>
                <w:bCs/>
                <w:color w:val="333333"/>
                <w:sz w:val="18"/>
                <w:szCs w:val="18"/>
                <w:lang w:eastAsia="en-GB"/>
              </w:rPr>
              <w:t>2520</w:t>
            </w:r>
          </w:p>
        </w:tc>
        <w:tc>
          <w:tcPr>
            <w:tcW w:w="150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Cs/>
                <w:color w:val="333333"/>
                <w:sz w:val="18"/>
                <w:szCs w:val="18"/>
                <w:lang w:eastAsia="en-GB"/>
              </w:rPr>
            </w:pPr>
            <w:r w:rsidRPr="00A57B59">
              <w:rPr>
                <w:rFonts w:cs="Arial"/>
                <w:bCs/>
                <w:color w:val="333333"/>
                <w:sz w:val="18"/>
                <w:szCs w:val="18"/>
                <w:lang w:eastAsia="en-GB"/>
              </w:rPr>
              <w:t>528</w:t>
            </w:r>
          </w:p>
        </w:tc>
        <w:tc>
          <w:tcPr>
            <w:tcW w:w="1080" w:type="dxa"/>
            <w:tcBorders>
              <w:top w:val="single" w:sz="4" w:space="0" w:color="auto"/>
              <w:left w:val="single" w:sz="4" w:space="0" w:color="auto"/>
              <w:bottom w:val="single" w:sz="4" w:space="0" w:color="auto"/>
              <w:right w:val="single" w:sz="4" w:space="0" w:color="auto"/>
            </w:tcBorders>
            <w:hideMark/>
          </w:tcPr>
          <w:p w:rsidR="00806F8F" w:rsidRPr="00A57B59" w:rsidRDefault="00692BA9" w:rsidP="00E36C95">
            <w:pPr>
              <w:spacing w:before="100" w:beforeAutospacing="1" w:after="100" w:afterAutospacing="1"/>
              <w:jc w:val="center"/>
              <w:rPr>
                <w:rFonts w:cs="Arial"/>
                <w:bCs/>
                <w:color w:val="333333"/>
                <w:sz w:val="18"/>
                <w:szCs w:val="18"/>
                <w:lang w:eastAsia="en-GB"/>
              </w:rPr>
            </w:pPr>
            <w:r>
              <w:rPr>
                <w:rFonts w:cs="Arial"/>
                <w:bCs/>
                <w:color w:val="333333"/>
                <w:sz w:val="18"/>
                <w:szCs w:val="18"/>
                <w:lang w:eastAsia="en-GB"/>
              </w:rPr>
              <w:t>5160</w:t>
            </w:r>
          </w:p>
        </w:tc>
        <w:tc>
          <w:tcPr>
            <w:tcW w:w="108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Cs/>
                <w:color w:val="333333"/>
                <w:sz w:val="18"/>
                <w:szCs w:val="18"/>
                <w:lang w:eastAsia="en-GB"/>
              </w:rPr>
            </w:pPr>
            <w:r w:rsidRPr="00A57B59">
              <w:rPr>
                <w:rFonts w:cs="Arial"/>
                <w:bCs/>
                <w:color w:val="333333"/>
                <w:sz w:val="18"/>
                <w:szCs w:val="18"/>
                <w:lang w:eastAsia="en-GB"/>
              </w:rPr>
              <w:t>2880</w:t>
            </w:r>
          </w:p>
        </w:tc>
        <w:tc>
          <w:tcPr>
            <w:tcW w:w="150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Cs/>
                <w:color w:val="333333"/>
                <w:sz w:val="18"/>
                <w:szCs w:val="18"/>
                <w:lang w:eastAsia="en-GB"/>
              </w:rPr>
            </w:pPr>
            <w:r w:rsidRPr="00A57B59">
              <w:rPr>
                <w:rFonts w:cs="Arial"/>
                <w:bCs/>
                <w:color w:val="333333"/>
                <w:sz w:val="18"/>
                <w:szCs w:val="18"/>
                <w:lang w:eastAsia="en-GB"/>
              </w:rPr>
              <w:t>594</w:t>
            </w:r>
          </w:p>
        </w:tc>
        <w:tc>
          <w:tcPr>
            <w:tcW w:w="1080" w:type="dxa"/>
            <w:tcBorders>
              <w:top w:val="single" w:sz="4" w:space="0" w:color="auto"/>
              <w:left w:val="single" w:sz="4" w:space="0" w:color="auto"/>
              <w:bottom w:val="single" w:sz="4" w:space="0" w:color="auto"/>
              <w:right w:val="single" w:sz="4" w:space="0" w:color="auto"/>
            </w:tcBorders>
            <w:hideMark/>
          </w:tcPr>
          <w:p w:rsidR="00806F8F" w:rsidRPr="00A57B59" w:rsidRDefault="00692BA9" w:rsidP="00E36C95">
            <w:pPr>
              <w:spacing w:before="100" w:beforeAutospacing="1" w:after="100" w:afterAutospacing="1"/>
              <w:jc w:val="center"/>
              <w:rPr>
                <w:rFonts w:cs="Arial"/>
                <w:bCs/>
                <w:color w:val="333333"/>
                <w:sz w:val="18"/>
                <w:szCs w:val="18"/>
                <w:lang w:eastAsia="en-GB"/>
              </w:rPr>
            </w:pPr>
            <w:r>
              <w:rPr>
                <w:rFonts w:cs="Arial"/>
                <w:bCs/>
                <w:color w:val="333333"/>
                <w:sz w:val="18"/>
                <w:szCs w:val="18"/>
                <w:lang w:eastAsia="en-GB"/>
              </w:rPr>
              <w:t>5850</w:t>
            </w:r>
          </w:p>
        </w:tc>
      </w:tr>
      <w:tr w:rsidR="00806F8F" w:rsidRPr="00A57B59" w:rsidTr="002D3BA9">
        <w:tc>
          <w:tcPr>
            <w:tcW w:w="100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Cs/>
                <w:color w:val="333333"/>
                <w:sz w:val="18"/>
                <w:szCs w:val="18"/>
                <w:lang w:eastAsia="en-GB"/>
              </w:rPr>
            </w:pPr>
            <w:r w:rsidRPr="00A57B59">
              <w:rPr>
                <w:rFonts w:cs="Arial"/>
                <w:bCs/>
                <w:color w:val="333333"/>
                <w:sz w:val="18"/>
                <w:szCs w:val="18"/>
                <w:lang w:eastAsia="en-GB"/>
              </w:rPr>
              <w:t>Small or Farm woodlands</w:t>
            </w:r>
          </w:p>
        </w:tc>
        <w:tc>
          <w:tcPr>
            <w:tcW w:w="108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Cs/>
                <w:color w:val="333333"/>
                <w:sz w:val="18"/>
                <w:szCs w:val="18"/>
                <w:lang w:eastAsia="en-GB"/>
              </w:rPr>
            </w:pPr>
            <w:r w:rsidRPr="00A57B59">
              <w:rPr>
                <w:rFonts w:cs="Arial"/>
                <w:bCs/>
                <w:color w:val="333333"/>
                <w:sz w:val="18"/>
                <w:szCs w:val="18"/>
                <w:lang w:eastAsia="en-GB"/>
              </w:rPr>
              <w:t>2100</w:t>
            </w:r>
          </w:p>
        </w:tc>
        <w:tc>
          <w:tcPr>
            <w:tcW w:w="150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Cs/>
                <w:color w:val="333333"/>
                <w:sz w:val="18"/>
                <w:szCs w:val="18"/>
                <w:lang w:eastAsia="en-GB"/>
              </w:rPr>
            </w:pPr>
            <w:r w:rsidRPr="00A57B59">
              <w:rPr>
                <w:rFonts w:cs="Arial"/>
                <w:bCs/>
                <w:color w:val="333333"/>
                <w:sz w:val="18"/>
                <w:szCs w:val="18"/>
                <w:lang w:eastAsia="en-GB"/>
              </w:rPr>
              <w:t>400</w:t>
            </w:r>
          </w:p>
        </w:tc>
        <w:tc>
          <w:tcPr>
            <w:tcW w:w="1080" w:type="dxa"/>
            <w:tcBorders>
              <w:top w:val="single" w:sz="4" w:space="0" w:color="auto"/>
              <w:left w:val="single" w:sz="4" w:space="0" w:color="auto"/>
              <w:bottom w:val="single" w:sz="4" w:space="0" w:color="auto"/>
              <w:right w:val="single" w:sz="4" w:space="0" w:color="auto"/>
            </w:tcBorders>
            <w:hideMark/>
          </w:tcPr>
          <w:p w:rsidR="00806F8F" w:rsidRPr="00A57B59" w:rsidRDefault="00692BA9" w:rsidP="00E36C95">
            <w:pPr>
              <w:spacing w:before="100" w:beforeAutospacing="1" w:after="100" w:afterAutospacing="1"/>
              <w:jc w:val="center"/>
              <w:rPr>
                <w:rFonts w:cs="Arial"/>
                <w:bCs/>
                <w:color w:val="333333"/>
                <w:sz w:val="18"/>
                <w:szCs w:val="18"/>
                <w:lang w:eastAsia="en-GB"/>
              </w:rPr>
            </w:pPr>
            <w:r>
              <w:rPr>
                <w:rFonts w:cs="Arial"/>
                <w:bCs/>
                <w:color w:val="333333"/>
                <w:sz w:val="18"/>
                <w:szCs w:val="18"/>
                <w:lang w:eastAsia="en-GB"/>
              </w:rPr>
              <w:t>4100</w:t>
            </w:r>
          </w:p>
        </w:tc>
        <w:tc>
          <w:tcPr>
            <w:tcW w:w="108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Cs/>
                <w:color w:val="333333"/>
                <w:sz w:val="18"/>
                <w:szCs w:val="18"/>
                <w:lang w:eastAsia="en-GB"/>
              </w:rPr>
            </w:pPr>
            <w:r w:rsidRPr="00A57B59">
              <w:rPr>
                <w:rFonts w:cs="Arial"/>
                <w:bCs/>
                <w:color w:val="333333"/>
                <w:sz w:val="18"/>
                <w:szCs w:val="18"/>
                <w:lang w:eastAsia="en-GB"/>
              </w:rPr>
              <w:t>2400</w:t>
            </w:r>
          </w:p>
        </w:tc>
        <w:tc>
          <w:tcPr>
            <w:tcW w:w="1500" w:type="dxa"/>
            <w:tcBorders>
              <w:top w:val="single" w:sz="4" w:space="0" w:color="auto"/>
              <w:left w:val="single" w:sz="4" w:space="0" w:color="auto"/>
              <w:bottom w:val="single" w:sz="4" w:space="0" w:color="auto"/>
              <w:right w:val="single" w:sz="4" w:space="0" w:color="auto"/>
            </w:tcBorders>
            <w:hideMark/>
          </w:tcPr>
          <w:p w:rsidR="00806F8F" w:rsidRPr="00A57B59" w:rsidRDefault="00806F8F" w:rsidP="00E36C95">
            <w:pPr>
              <w:spacing w:before="100" w:beforeAutospacing="1" w:after="100" w:afterAutospacing="1"/>
              <w:jc w:val="center"/>
              <w:rPr>
                <w:rFonts w:cs="Arial"/>
                <w:bCs/>
                <w:color w:val="333333"/>
                <w:sz w:val="18"/>
                <w:szCs w:val="18"/>
                <w:lang w:eastAsia="en-GB"/>
              </w:rPr>
            </w:pPr>
            <w:r w:rsidRPr="00A57B59">
              <w:rPr>
                <w:rFonts w:cs="Arial"/>
                <w:bCs/>
                <w:color w:val="333333"/>
                <w:sz w:val="18"/>
                <w:szCs w:val="18"/>
                <w:lang w:eastAsia="en-GB"/>
              </w:rPr>
              <w:t>450</w:t>
            </w:r>
          </w:p>
        </w:tc>
        <w:tc>
          <w:tcPr>
            <w:tcW w:w="1080" w:type="dxa"/>
            <w:tcBorders>
              <w:top w:val="single" w:sz="4" w:space="0" w:color="auto"/>
              <w:left w:val="single" w:sz="4" w:space="0" w:color="auto"/>
              <w:bottom w:val="single" w:sz="4" w:space="0" w:color="auto"/>
              <w:right w:val="single" w:sz="4" w:space="0" w:color="auto"/>
            </w:tcBorders>
            <w:hideMark/>
          </w:tcPr>
          <w:p w:rsidR="00806F8F" w:rsidRPr="00A57B59" w:rsidRDefault="00692BA9" w:rsidP="00E36C95">
            <w:pPr>
              <w:spacing w:before="100" w:beforeAutospacing="1" w:after="100" w:afterAutospacing="1"/>
              <w:jc w:val="center"/>
              <w:rPr>
                <w:rFonts w:cs="Arial"/>
                <w:bCs/>
                <w:color w:val="333333"/>
                <w:sz w:val="18"/>
                <w:szCs w:val="18"/>
                <w:lang w:eastAsia="en-GB"/>
              </w:rPr>
            </w:pPr>
            <w:r>
              <w:rPr>
                <w:rFonts w:cs="Arial"/>
                <w:bCs/>
                <w:color w:val="333333"/>
                <w:sz w:val="18"/>
                <w:szCs w:val="18"/>
                <w:lang w:eastAsia="en-GB"/>
              </w:rPr>
              <w:t>4650</w:t>
            </w:r>
          </w:p>
        </w:tc>
      </w:tr>
    </w:tbl>
    <w:p w:rsidR="00E91DB9" w:rsidRPr="00A57B59" w:rsidRDefault="00E91DB9" w:rsidP="00990065">
      <w:pPr>
        <w:pStyle w:val="Default"/>
        <w:jc w:val="both"/>
        <w:rPr>
          <w:sz w:val="22"/>
          <w:szCs w:val="22"/>
        </w:rPr>
      </w:pPr>
    </w:p>
    <w:p w:rsidR="00A57F68" w:rsidRPr="00A57B59" w:rsidRDefault="00A57F68" w:rsidP="00A57F68">
      <w:pPr>
        <w:pStyle w:val="Default"/>
        <w:ind w:left="720"/>
        <w:jc w:val="both"/>
        <w:rPr>
          <w:sz w:val="22"/>
          <w:szCs w:val="22"/>
        </w:rPr>
      </w:pPr>
      <w:r w:rsidRPr="00A57B59">
        <w:rPr>
          <w:sz w:val="22"/>
          <w:szCs w:val="22"/>
        </w:rPr>
        <w:t xml:space="preserve">The standard Initial Planting capital item rates are based on the use of mounding and associated costs per hectare for the ground </w:t>
      </w:r>
      <w:bookmarkStart w:id="0" w:name="_GoBack"/>
      <w:bookmarkEnd w:id="0"/>
      <w:r w:rsidRPr="00A57B59">
        <w:rPr>
          <w:sz w:val="22"/>
          <w:szCs w:val="22"/>
        </w:rPr>
        <w:t xml:space="preserve">preparation element. On reviewing current practice it was found that a proportion of schemes were implemented using ploughing techniques. As there is a significant difference in the cost for these two techniques a new Initial Planting with Ploughing </w:t>
      </w:r>
      <w:r w:rsidR="005155F2">
        <w:rPr>
          <w:sz w:val="22"/>
          <w:szCs w:val="22"/>
        </w:rPr>
        <w:t>c</w:t>
      </w:r>
      <w:r w:rsidRPr="00A57B59">
        <w:rPr>
          <w:sz w:val="22"/>
          <w:szCs w:val="22"/>
        </w:rPr>
        <w:t xml:space="preserve">apital </w:t>
      </w:r>
      <w:r w:rsidR="005155F2">
        <w:rPr>
          <w:sz w:val="22"/>
          <w:szCs w:val="22"/>
        </w:rPr>
        <w:t>i</w:t>
      </w:r>
      <w:r w:rsidRPr="00A57B59">
        <w:rPr>
          <w:sz w:val="22"/>
          <w:szCs w:val="22"/>
        </w:rPr>
        <w:t xml:space="preserve">tem has been introduced to reflect the cost of ploughing and ensure the standard cost models remain valid.  </w:t>
      </w:r>
    </w:p>
    <w:p w:rsidR="00A57F68" w:rsidRPr="00A57B59" w:rsidRDefault="00A57F68" w:rsidP="00A3390B">
      <w:pPr>
        <w:pStyle w:val="Default"/>
        <w:ind w:left="720"/>
        <w:jc w:val="both"/>
        <w:rPr>
          <w:sz w:val="22"/>
          <w:szCs w:val="22"/>
        </w:rPr>
      </w:pPr>
    </w:p>
    <w:p w:rsidR="00A3390B" w:rsidRPr="00A57B59" w:rsidRDefault="00A3390B" w:rsidP="00A3390B">
      <w:pPr>
        <w:pStyle w:val="Default"/>
        <w:ind w:left="720"/>
        <w:jc w:val="both"/>
        <w:rPr>
          <w:sz w:val="22"/>
          <w:szCs w:val="22"/>
        </w:rPr>
      </w:pPr>
      <w:r w:rsidRPr="00A57B59">
        <w:rPr>
          <w:sz w:val="22"/>
          <w:szCs w:val="22"/>
        </w:rPr>
        <w:t xml:space="preserve">The new rate for Initial Planting with ploughing is </w:t>
      </w:r>
      <w:r w:rsidR="00A57F68" w:rsidRPr="00A57B59">
        <w:rPr>
          <w:sz w:val="22"/>
          <w:szCs w:val="22"/>
        </w:rPr>
        <w:t>applicable for all</w:t>
      </w:r>
      <w:r w:rsidRPr="00A57B59">
        <w:rPr>
          <w:sz w:val="22"/>
          <w:szCs w:val="22"/>
        </w:rPr>
        <w:t xml:space="preserve"> types of ploughing</w:t>
      </w:r>
      <w:r w:rsidR="00A57F68" w:rsidRPr="00A57B59">
        <w:rPr>
          <w:sz w:val="22"/>
          <w:szCs w:val="22"/>
        </w:rPr>
        <w:t>, both shallow and deep,</w:t>
      </w:r>
      <w:r w:rsidRPr="00A57B59">
        <w:rPr>
          <w:sz w:val="22"/>
          <w:szCs w:val="22"/>
        </w:rPr>
        <w:t xml:space="preserve"> </w:t>
      </w:r>
      <w:r w:rsidR="00A57F68" w:rsidRPr="00A57B59">
        <w:rPr>
          <w:sz w:val="22"/>
          <w:szCs w:val="22"/>
        </w:rPr>
        <w:t>carried out using</w:t>
      </w:r>
      <w:r w:rsidRPr="00A57B59">
        <w:rPr>
          <w:sz w:val="22"/>
          <w:szCs w:val="22"/>
        </w:rPr>
        <w:t xml:space="preserve"> agricultural plough</w:t>
      </w:r>
      <w:r w:rsidR="00A57F68" w:rsidRPr="00A57B59">
        <w:rPr>
          <w:sz w:val="22"/>
          <w:szCs w:val="22"/>
        </w:rPr>
        <w:t>s</w:t>
      </w:r>
      <w:r w:rsidRPr="00A57B59">
        <w:rPr>
          <w:sz w:val="22"/>
          <w:szCs w:val="22"/>
        </w:rPr>
        <w:t>, forestry plough</w:t>
      </w:r>
      <w:r w:rsidR="00A57F68" w:rsidRPr="00A57B59">
        <w:rPr>
          <w:sz w:val="22"/>
          <w:szCs w:val="22"/>
        </w:rPr>
        <w:t>s</w:t>
      </w:r>
      <w:r w:rsidRPr="00A57B59">
        <w:rPr>
          <w:sz w:val="22"/>
          <w:szCs w:val="22"/>
        </w:rPr>
        <w:t xml:space="preserve"> or the Rotary (helix) plough.</w:t>
      </w:r>
    </w:p>
    <w:p w:rsidR="00A3390B" w:rsidRPr="00A57B59" w:rsidRDefault="00A3390B" w:rsidP="00A3390B">
      <w:pPr>
        <w:pStyle w:val="Default"/>
        <w:ind w:left="720"/>
        <w:jc w:val="both"/>
        <w:rPr>
          <w:sz w:val="22"/>
          <w:szCs w:val="22"/>
        </w:rPr>
      </w:pPr>
    </w:p>
    <w:p w:rsidR="00266BB3" w:rsidRDefault="00A3390B" w:rsidP="00A57F68">
      <w:pPr>
        <w:pStyle w:val="Default"/>
        <w:ind w:left="720"/>
        <w:jc w:val="both"/>
        <w:rPr>
          <w:sz w:val="22"/>
          <w:szCs w:val="22"/>
        </w:rPr>
      </w:pPr>
      <w:r w:rsidRPr="00A57B59">
        <w:rPr>
          <w:sz w:val="22"/>
          <w:szCs w:val="22"/>
        </w:rPr>
        <w:t xml:space="preserve">If you are using any of the above types of ploughing then please answer ‘yes’ to the new ploughing question in </w:t>
      </w:r>
      <w:proofErr w:type="spellStart"/>
      <w:r w:rsidRPr="00A57B59">
        <w:rPr>
          <w:sz w:val="22"/>
          <w:szCs w:val="22"/>
        </w:rPr>
        <w:t>RP&amp;S</w:t>
      </w:r>
      <w:proofErr w:type="spellEnd"/>
      <w:r w:rsidRPr="00A57B59">
        <w:rPr>
          <w:sz w:val="22"/>
          <w:szCs w:val="22"/>
        </w:rPr>
        <w:t xml:space="preserve"> and select the new capital item.</w:t>
      </w:r>
      <w:r w:rsidR="00A57F68" w:rsidRPr="00A57B59">
        <w:rPr>
          <w:sz w:val="22"/>
          <w:szCs w:val="22"/>
        </w:rPr>
        <w:t xml:space="preserve"> Both standard and ploughing capital items can be selected within the same </w:t>
      </w:r>
    </w:p>
    <w:p w:rsidR="00266BB3" w:rsidRDefault="00266BB3" w:rsidP="00A57F68">
      <w:pPr>
        <w:pStyle w:val="Default"/>
        <w:ind w:left="720"/>
        <w:jc w:val="both"/>
        <w:rPr>
          <w:sz w:val="22"/>
          <w:szCs w:val="22"/>
        </w:rPr>
      </w:pPr>
    </w:p>
    <w:p w:rsidR="00A57B59" w:rsidRDefault="00A57F68" w:rsidP="00A57F68">
      <w:pPr>
        <w:pStyle w:val="Default"/>
        <w:ind w:left="720"/>
        <w:jc w:val="both"/>
        <w:rPr>
          <w:sz w:val="22"/>
          <w:szCs w:val="22"/>
        </w:rPr>
      </w:pPr>
      <w:r w:rsidRPr="00A57B59">
        <w:rPr>
          <w:sz w:val="22"/>
          <w:szCs w:val="22"/>
        </w:rPr>
        <w:t xml:space="preserve">application and the quantity(area) entered should reflect the planned use of these techniques. </w:t>
      </w:r>
    </w:p>
    <w:p w:rsidR="00A57F68" w:rsidRPr="00A57B59" w:rsidRDefault="00A57F68" w:rsidP="00A57F68">
      <w:pPr>
        <w:pStyle w:val="Default"/>
        <w:ind w:left="720"/>
        <w:jc w:val="both"/>
        <w:rPr>
          <w:sz w:val="22"/>
          <w:szCs w:val="22"/>
        </w:rPr>
      </w:pPr>
    </w:p>
    <w:p w:rsidR="00A3390B" w:rsidRPr="00A57B59" w:rsidRDefault="00A57F68" w:rsidP="00A57F68">
      <w:pPr>
        <w:pStyle w:val="Default"/>
        <w:ind w:left="720"/>
        <w:jc w:val="both"/>
        <w:rPr>
          <w:sz w:val="22"/>
          <w:szCs w:val="22"/>
        </w:rPr>
      </w:pPr>
      <w:r w:rsidRPr="00A57B59">
        <w:rPr>
          <w:sz w:val="22"/>
          <w:szCs w:val="22"/>
        </w:rPr>
        <w:t xml:space="preserve">Where an application includes both standard and ploughing </w:t>
      </w:r>
      <w:r w:rsidR="005155F2">
        <w:rPr>
          <w:sz w:val="22"/>
          <w:szCs w:val="22"/>
        </w:rPr>
        <w:t>cap</w:t>
      </w:r>
      <w:r w:rsidRPr="00A57B59">
        <w:rPr>
          <w:sz w:val="22"/>
          <w:szCs w:val="22"/>
        </w:rPr>
        <w:t xml:space="preserve">ital items then please ensure your application, and documents supporting future capital claims, clearly </w:t>
      </w:r>
      <w:r w:rsidR="00A57B59" w:rsidRPr="00A57B59">
        <w:rPr>
          <w:sz w:val="22"/>
          <w:szCs w:val="22"/>
        </w:rPr>
        <w:t>show</w:t>
      </w:r>
      <w:r w:rsidRPr="00A57B59">
        <w:rPr>
          <w:sz w:val="22"/>
          <w:szCs w:val="22"/>
        </w:rPr>
        <w:t xml:space="preserve"> the different</w:t>
      </w:r>
      <w:r w:rsidR="00A57B59">
        <w:rPr>
          <w:sz w:val="22"/>
          <w:szCs w:val="22"/>
        </w:rPr>
        <w:t xml:space="preserve"> areas of the</w:t>
      </w:r>
      <w:r w:rsidRPr="00A57B59">
        <w:rPr>
          <w:sz w:val="22"/>
          <w:szCs w:val="22"/>
        </w:rPr>
        <w:t xml:space="preserve"> </w:t>
      </w:r>
      <w:r w:rsidR="005155F2">
        <w:rPr>
          <w:sz w:val="22"/>
          <w:szCs w:val="22"/>
        </w:rPr>
        <w:t>I</w:t>
      </w:r>
      <w:r w:rsidRPr="00A57B59">
        <w:rPr>
          <w:sz w:val="22"/>
          <w:szCs w:val="22"/>
        </w:rPr>
        <w:t xml:space="preserve">nitial </w:t>
      </w:r>
      <w:r w:rsidR="005155F2">
        <w:rPr>
          <w:sz w:val="22"/>
          <w:szCs w:val="22"/>
        </w:rPr>
        <w:t>P</w:t>
      </w:r>
      <w:r w:rsidRPr="00A57B59">
        <w:rPr>
          <w:sz w:val="22"/>
          <w:szCs w:val="22"/>
        </w:rPr>
        <w:t xml:space="preserve">lanting capital items on a map using a continuous coloured line drawn as thinly and accurately as possible.  Use coloured shading to differentiate between the two types of initial planting capital items.  </w:t>
      </w:r>
    </w:p>
    <w:p w:rsidR="00806F8F" w:rsidRPr="00A57B59" w:rsidRDefault="00806F8F" w:rsidP="00990065">
      <w:pPr>
        <w:pStyle w:val="Default"/>
        <w:jc w:val="both"/>
        <w:rPr>
          <w:sz w:val="22"/>
          <w:szCs w:val="22"/>
        </w:rPr>
      </w:pPr>
    </w:p>
    <w:p w:rsidR="00417A79" w:rsidRPr="00A57B59" w:rsidRDefault="00367D80" w:rsidP="00E36C95">
      <w:pPr>
        <w:pStyle w:val="Default"/>
        <w:shd w:val="clear" w:color="auto" w:fill="D9D9D9" w:themeFill="background1" w:themeFillShade="D9"/>
        <w:jc w:val="both"/>
        <w:rPr>
          <w:b/>
          <w:sz w:val="22"/>
          <w:szCs w:val="22"/>
        </w:rPr>
      </w:pPr>
      <w:r w:rsidRPr="00A57B59">
        <w:rPr>
          <w:b/>
          <w:sz w:val="22"/>
          <w:szCs w:val="22"/>
        </w:rPr>
        <w:t>3.</w:t>
      </w:r>
      <w:r w:rsidR="00417A79" w:rsidRPr="00A57B59">
        <w:rPr>
          <w:b/>
          <w:sz w:val="22"/>
          <w:szCs w:val="22"/>
        </w:rPr>
        <w:t xml:space="preserve">  </w:t>
      </w:r>
      <w:r w:rsidR="00E91DB9" w:rsidRPr="00A57B59">
        <w:rPr>
          <w:b/>
          <w:sz w:val="22"/>
          <w:szCs w:val="22"/>
        </w:rPr>
        <w:t>Securing plant supply for the next planting season</w:t>
      </w:r>
    </w:p>
    <w:p w:rsidR="00F95ED8" w:rsidRPr="00A57B59" w:rsidRDefault="00F95ED8" w:rsidP="00E91DB9">
      <w:pPr>
        <w:pStyle w:val="Default"/>
        <w:jc w:val="both"/>
        <w:rPr>
          <w:sz w:val="22"/>
          <w:szCs w:val="22"/>
        </w:rPr>
      </w:pPr>
    </w:p>
    <w:p w:rsidR="00E91DB9" w:rsidRPr="00A57B59" w:rsidRDefault="00E91DB9" w:rsidP="00E91DB9">
      <w:pPr>
        <w:pStyle w:val="Default"/>
        <w:jc w:val="both"/>
        <w:rPr>
          <w:sz w:val="22"/>
          <w:szCs w:val="22"/>
        </w:rPr>
      </w:pPr>
      <w:r w:rsidRPr="00A57B59">
        <w:rPr>
          <w:sz w:val="22"/>
          <w:szCs w:val="22"/>
        </w:rPr>
        <w:t xml:space="preserve">We know that the 2018 planting year was a record year and the GB tree nurseries have responded to the challenge and supported the planting of over 11,000 ha in Scotland. </w:t>
      </w:r>
    </w:p>
    <w:p w:rsidR="00E91DB9" w:rsidRPr="00A57B59" w:rsidRDefault="00E91DB9" w:rsidP="00E91DB9">
      <w:pPr>
        <w:pStyle w:val="Default"/>
        <w:jc w:val="both"/>
        <w:rPr>
          <w:sz w:val="22"/>
          <w:szCs w:val="22"/>
        </w:rPr>
      </w:pPr>
    </w:p>
    <w:p w:rsidR="00E91DB9" w:rsidRPr="00A57B59" w:rsidRDefault="00E91DB9" w:rsidP="00E91DB9">
      <w:pPr>
        <w:pStyle w:val="Default"/>
        <w:jc w:val="both"/>
        <w:rPr>
          <w:sz w:val="22"/>
          <w:szCs w:val="22"/>
        </w:rPr>
      </w:pPr>
      <w:r w:rsidRPr="00A57B59">
        <w:rPr>
          <w:sz w:val="22"/>
          <w:szCs w:val="22"/>
        </w:rPr>
        <w:t>As a result some tree nurseries have completely sold out of a certain species in 2018 and are already well sold ahead for 2019</w:t>
      </w:r>
    </w:p>
    <w:p w:rsidR="00E91DB9" w:rsidRPr="00A57B59" w:rsidRDefault="00E91DB9" w:rsidP="00E91DB9">
      <w:pPr>
        <w:pStyle w:val="Default"/>
        <w:jc w:val="both"/>
        <w:rPr>
          <w:sz w:val="22"/>
          <w:szCs w:val="22"/>
        </w:rPr>
      </w:pPr>
    </w:p>
    <w:p w:rsidR="00E91DB9" w:rsidRPr="00A57B59" w:rsidRDefault="00E91DB9" w:rsidP="00E91DB9">
      <w:pPr>
        <w:pStyle w:val="Default"/>
        <w:jc w:val="both"/>
        <w:rPr>
          <w:sz w:val="22"/>
          <w:szCs w:val="22"/>
        </w:rPr>
      </w:pPr>
      <w:r w:rsidRPr="00A57B59">
        <w:rPr>
          <w:sz w:val="22"/>
          <w:szCs w:val="22"/>
        </w:rPr>
        <w:t>Given the high demand for new planting in 2019 we expect that there will be similar pressures on tree availability</w:t>
      </w:r>
    </w:p>
    <w:p w:rsidR="00E91DB9" w:rsidRPr="00A57B59" w:rsidRDefault="00E91DB9" w:rsidP="00E91DB9">
      <w:pPr>
        <w:pStyle w:val="Default"/>
        <w:jc w:val="both"/>
        <w:rPr>
          <w:sz w:val="22"/>
          <w:szCs w:val="22"/>
        </w:rPr>
      </w:pPr>
    </w:p>
    <w:p w:rsidR="00E91DB9" w:rsidRPr="00A57B59" w:rsidRDefault="00E91DB9" w:rsidP="00E91DB9">
      <w:pPr>
        <w:pStyle w:val="Default"/>
        <w:jc w:val="both"/>
        <w:rPr>
          <w:sz w:val="22"/>
          <w:szCs w:val="22"/>
        </w:rPr>
      </w:pPr>
      <w:r w:rsidRPr="00A57B59">
        <w:rPr>
          <w:sz w:val="22"/>
          <w:szCs w:val="22"/>
        </w:rPr>
        <w:t>To try to allow all parties to plan ahead we would advise that agents planning new planting schemes in 2019 or 2020 contact nurseries well in advance to discuss and agree plant supply arrangements.</w:t>
      </w:r>
    </w:p>
    <w:p w:rsidR="00806F8F" w:rsidRPr="00A57B59" w:rsidRDefault="00806F8F" w:rsidP="00990065">
      <w:pPr>
        <w:pStyle w:val="Default"/>
        <w:jc w:val="both"/>
        <w:rPr>
          <w:sz w:val="22"/>
          <w:szCs w:val="22"/>
        </w:rPr>
      </w:pPr>
    </w:p>
    <w:p w:rsidR="00367D80" w:rsidRPr="00A57B59" w:rsidRDefault="00367D80" w:rsidP="00DE12A3">
      <w:pPr>
        <w:pStyle w:val="Default"/>
        <w:shd w:val="clear" w:color="auto" w:fill="D9D9D9" w:themeFill="background1" w:themeFillShade="D9"/>
        <w:jc w:val="both"/>
        <w:rPr>
          <w:sz w:val="22"/>
          <w:szCs w:val="22"/>
        </w:rPr>
      </w:pPr>
      <w:r w:rsidRPr="00A57B59">
        <w:rPr>
          <w:b/>
          <w:bCs/>
          <w:sz w:val="22"/>
          <w:szCs w:val="22"/>
        </w:rPr>
        <w:t>4.</w:t>
      </w:r>
      <w:r w:rsidR="00417A79" w:rsidRPr="00A57B59">
        <w:rPr>
          <w:b/>
          <w:bCs/>
          <w:sz w:val="22"/>
          <w:szCs w:val="22"/>
        </w:rPr>
        <w:t xml:space="preserve">  </w:t>
      </w:r>
      <w:r w:rsidR="00C3711A" w:rsidRPr="00A57B59">
        <w:rPr>
          <w:b/>
          <w:bCs/>
          <w:sz w:val="22"/>
          <w:szCs w:val="22"/>
        </w:rPr>
        <w:t xml:space="preserve">Queries </w:t>
      </w:r>
    </w:p>
    <w:p w:rsidR="00F95ED8" w:rsidRPr="00A57B59" w:rsidRDefault="00F95ED8" w:rsidP="00990065">
      <w:pPr>
        <w:jc w:val="both"/>
        <w:rPr>
          <w:sz w:val="22"/>
          <w:szCs w:val="22"/>
        </w:rPr>
      </w:pPr>
    </w:p>
    <w:p w:rsidR="00C3711A" w:rsidRPr="00A57B59" w:rsidRDefault="00C3711A" w:rsidP="00990065">
      <w:pPr>
        <w:jc w:val="both"/>
        <w:rPr>
          <w:sz w:val="22"/>
          <w:szCs w:val="22"/>
        </w:rPr>
      </w:pPr>
      <w:r w:rsidRPr="00A57B59">
        <w:rPr>
          <w:sz w:val="22"/>
          <w:szCs w:val="22"/>
        </w:rPr>
        <w:t xml:space="preserve">If you have any queries then please contact your local Conservancy or our National Office on 0131 370 5250 or </w:t>
      </w:r>
      <w:proofErr w:type="spellStart"/>
      <w:r w:rsidRPr="00A57B59">
        <w:rPr>
          <w:sz w:val="22"/>
          <w:szCs w:val="22"/>
        </w:rPr>
        <w:t>Scottish.Forestry@forestry.gov.scot</w:t>
      </w:r>
      <w:proofErr w:type="spellEnd"/>
    </w:p>
    <w:sectPr w:rsidR="00C3711A" w:rsidRPr="00A57B59" w:rsidSect="00B561C0">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318" w:rsidRDefault="00341318" w:rsidP="00341318">
      <w:r>
        <w:separator/>
      </w:r>
    </w:p>
  </w:endnote>
  <w:endnote w:type="continuationSeparator" w:id="0">
    <w:p w:rsidR="00341318" w:rsidRDefault="00341318" w:rsidP="0034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18" w:rsidRDefault="00341318" w:rsidP="00341318">
    <w:pPr>
      <w:pStyle w:val="Footer"/>
      <w:jc w:val="center"/>
    </w:pPr>
    <w:r>
      <w:rPr>
        <w:noProof/>
        <w:lang w:eastAsia="en-GB"/>
      </w:rPr>
      <w:drawing>
        <wp:inline distT="0" distB="0" distL="0" distR="0" wp14:anchorId="73B9ECCE" wp14:editId="3EBE8576">
          <wp:extent cx="6371925"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5057" cy="822124"/>
                  </a:xfrm>
                  <a:prstGeom prst="rect">
                    <a:avLst/>
                  </a:prstGeom>
                  <a:noFill/>
                </pic:spPr>
              </pic:pic>
            </a:graphicData>
          </a:graphic>
        </wp:inline>
      </w:drawing>
    </w:r>
  </w:p>
  <w:p w:rsidR="00341318" w:rsidRDefault="00341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318" w:rsidRDefault="00341318" w:rsidP="00341318">
      <w:r>
        <w:separator/>
      </w:r>
    </w:p>
  </w:footnote>
  <w:footnote w:type="continuationSeparator" w:id="0">
    <w:p w:rsidR="00341318" w:rsidRDefault="00341318" w:rsidP="00341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18" w:rsidRDefault="00341318">
    <w:pPr>
      <w:pStyle w:val="Header"/>
    </w:pPr>
    <w:r>
      <w:rPr>
        <w:noProof/>
        <w:lang w:eastAsia="en-GB"/>
      </w:rPr>
      <w:drawing>
        <wp:inline distT="0" distB="0" distL="0" distR="0" wp14:anchorId="7A1CE6D1">
          <wp:extent cx="151193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25170"/>
                  </a:xfrm>
                  <a:prstGeom prst="rect">
                    <a:avLst/>
                  </a:prstGeom>
                  <a:noFill/>
                </pic:spPr>
              </pic:pic>
            </a:graphicData>
          </a:graphic>
        </wp:inline>
      </w:drawing>
    </w:r>
    <w:r w:rsidR="00367D80" w:rsidRPr="00367D80">
      <w:rPr>
        <w:b/>
        <w:bCs/>
        <w:sz w:val="22"/>
        <w:szCs w:val="22"/>
      </w:rPr>
      <w:t xml:space="preserve"> </w:t>
    </w:r>
    <w:r w:rsidR="00367D80">
      <w:rPr>
        <w:b/>
        <w:bCs/>
        <w:sz w:val="22"/>
        <w:szCs w:val="22"/>
      </w:rPr>
      <w:t xml:space="preserve">                          </w:t>
    </w:r>
    <w:r w:rsidR="00266BB3">
      <w:rPr>
        <w:b/>
        <w:bCs/>
        <w:sz w:val="22"/>
        <w:szCs w:val="22"/>
      </w:rPr>
      <w:t xml:space="preserve">                            </w:t>
    </w:r>
    <w:r w:rsidR="00367D80" w:rsidRPr="00266BB3">
      <w:rPr>
        <w:b/>
        <w:bCs/>
        <w:szCs w:val="24"/>
      </w:rPr>
      <w:t>Briefing Note 24 – June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476773EB"/>
    <w:multiLevelType w:val="hybridMultilevel"/>
    <w:tmpl w:val="3E50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18"/>
    <w:rsid w:val="00027C27"/>
    <w:rsid w:val="00096E85"/>
    <w:rsid w:val="000C0CF4"/>
    <w:rsid w:val="00266BB3"/>
    <w:rsid w:val="00281579"/>
    <w:rsid w:val="002D3BA9"/>
    <w:rsid w:val="00306C61"/>
    <w:rsid w:val="00341071"/>
    <w:rsid w:val="00341318"/>
    <w:rsid w:val="00362BF0"/>
    <w:rsid w:val="00367D80"/>
    <w:rsid w:val="0037582B"/>
    <w:rsid w:val="00417A79"/>
    <w:rsid w:val="0044083C"/>
    <w:rsid w:val="005155F2"/>
    <w:rsid w:val="005749D7"/>
    <w:rsid w:val="00611F9D"/>
    <w:rsid w:val="00692BA9"/>
    <w:rsid w:val="00806F8F"/>
    <w:rsid w:val="00857548"/>
    <w:rsid w:val="00990065"/>
    <w:rsid w:val="009B7615"/>
    <w:rsid w:val="00A3390B"/>
    <w:rsid w:val="00A57B59"/>
    <w:rsid w:val="00A57F68"/>
    <w:rsid w:val="00B51BDC"/>
    <w:rsid w:val="00B561C0"/>
    <w:rsid w:val="00B773CE"/>
    <w:rsid w:val="00C3711A"/>
    <w:rsid w:val="00C91823"/>
    <w:rsid w:val="00D008AB"/>
    <w:rsid w:val="00DE12A3"/>
    <w:rsid w:val="00E36C95"/>
    <w:rsid w:val="00E91DB9"/>
    <w:rsid w:val="00F95ED8"/>
    <w:rsid w:val="00FA4BC1"/>
    <w:rsid w:val="00FC4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F7CD66"/>
  <w15:chartTrackingRefBased/>
  <w15:docId w15:val="{39B6DFAB-0EBB-4671-B75F-2FE88023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F8F"/>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Default">
    <w:name w:val="Default"/>
    <w:rsid w:val="00C3711A"/>
    <w:pPr>
      <w:autoSpaceDE w:val="0"/>
      <w:autoSpaceDN w:val="0"/>
      <w:adjustRightInd w:val="0"/>
    </w:pPr>
    <w:rPr>
      <w:rFonts w:ascii="Verdana" w:hAnsi="Verdana" w:cs="Verdana"/>
      <w:color w:val="000000"/>
      <w:sz w:val="24"/>
      <w:szCs w:val="24"/>
    </w:rPr>
  </w:style>
  <w:style w:type="table" w:styleId="TableGrid">
    <w:name w:val="Table Grid"/>
    <w:basedOn w:val="TableNormal"/>
    <w:uiPriority w:val="39"/>
    <w:rsid w:val="00806F8F"/>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C95"/>
    <w:rPr>
      <w:rFonts w:ascii="Segoe UI" w:hAnsi="Segoe UI" w:cs="Segoe UI"/>
      <w:sz w:val="18"/>
      <w:szCs w:val="18"/>
    </w:rPr>
  </w:style>
  <w:style w:type="character" w:styleId="Hyperlink">
    <w:name w:val="Hyperlink"/>
    <w:basedOn w:val="DefaultParagraphFont"/>
    <w:uiPriority w:val="99"/>
    <w:unhideWhenUsed/>
    <w:rsid w:val="00E36C95"/>
    <w:rPr>
      <w:color w:val="0563C1" w:themeColor="hyperlink"/>
      <w:u w:val="single"/>
    </w:rPr>
  </w:style>
  <w:style w:type="character" w:styleId="FollowedHyperlink">
    <w:name w:val="FollowedHyperlink"/>
    <w:basedOn w:val="DefaultParagraphFont"/>
    <w:uiPriority w:val="99"/>
    <w:semiHidden/>
    <w:unhideWhenUsed/>
    <w:rsid w:val="00E36C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8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ralpayments.org/publicsite/futures/topics/all-schemes/forestry-grant-scheme/forestry-grant-scheme-full-guidance-menu/general-mapping-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uralpayments.org/publicsite/futures/topics/all-schemes/forestry-grant-scheme/forestry-grant-scheme-capital-items/stock-fence--fg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uralpayments.org/publicsite-rest/fscontent/repository/portal-system/mediadata/media/resources/fgs_wc_options_template_a4l.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C (Craig) (SF)</dc:creator>
  <cp:keywords/>
  <dc:description/>
  <cp:lastModifiedBy>Smith J (Jamie)</cp:lastModifiedBy>
  <cp:revision>12</cp:revision>
  <cp:lastPrinted>2019-06-26T16:58:00Z</cp:lastPrinted>
  <dcterms:created xsi:type="dcterms:W3CDTF">2019-06-25T12:30:00Z</dcterms:created>
  <dcterms:modified xsi:type="dcterms:W3CDTF">2019-06-27T11:34:00Z</dcterms:modified>
</cp:coreProperties>
</file>